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82" w:rsidRPr="00413495" w:rsidRDefault="00186563" w:rsidP="00186563">
      <w:pPr>
        <w:spacing w:after="0"/>
        <w:jc w:val="both"/>
        <w:rPr>
          <w:b/>
          <w:color w:val="7F7F7F" w:themeColor="text1" w:themeTint="80"/>
          <w:sz w:val="26"/>
          <w:szCs w:val="26"/>
        </w:rPr>
      </w:pPr>
      <w:r w:rsidRPr="00413495">
        <w:rPr>
          <w:b/>
          <w:color w:val="7F7F7F" w:themeColor="text1" w:themeTint="80"/>
          <w:sz w:val="26"/>
          <w:szCs w:val="26"/>
        </w:rPr>
        <w:t xml:space="preserve">Воздействие упражнений с применением </w:t>
      </w:r>
      <w:proofErr w:type="spellStart"/>
      <w:r w:rsidRPr="00413495">
        <w:rPr>
          <w:b/>
          <w:color w:val="7F7F7F" w:themeColor="text1" w:themeTint="80"/>
          <w:sz w:val="26"/>
          <w:szCs w:val="26"/>
        </w:rPr>
        <w:t>Gyrotonic</w:t>
      </w:r>
      <w:proofErr w:type="spellEnd"/>
      <w:r w:rsidRPr="00413495">
        <w:rPr>
          <w:b/>
          <w:color w:val="7F7F7F" w:themeColor="text1" w:themeTint="80"/>
          <w:sz w:val="26"/>
          <w:szCs w:val="26"/>
        </w:rPr>
        <w:t xml:space="preserve"> </w:t>
      </w:r>
      <w:proofErr w:type="spellStart"/>
      <w:r w:rsidRPr="00413495">
        <w:rPr>
          <w:b/>
          <w:color w:val="7F7F7F" w:themeColor="text1" w:themeTint="80"/>
          <w:sz w:val="26"/>
          <w:szCs w:val="26"/>
        </w:rPr>
        <w:t>expansion</w:t>
      </w:r>
      <w:proofErr w:type="spellEnd"/>
      <w:r w:rsidRPr="00413495">
        <w:rPr>
          <w:b/>
          <w:color w:val="7F7F7F" w:themeColor="text1" w:themeTint="80"/>
          <w:sz w:val="26"/>
          <w:szCs w:val="26"/>
        </w:rPr>
        <w:t xml:space="preserve"> </w:t>
      </w:r>
      <w:proofErr w:type="spellStart"/>
      <w:r w:rsidRPr="00413495">
        <w:rPr>
          <w:b/>
          <w:color w:val="7F7F7F" w:themeColor="text1" w:themeTint="80"/>
          <w:sz w:val="26"/>
          <w:szCs w:val="26"/>
        </w:rPr>
        <w:t>system</w:t>
      </w:r>
      <w:proofErr w:type="spellEnd"/>
      <w:r w:rsidRPr="00413495">
        <w:rPr>
          <w:b/>
          <w:color w:val="7F7F7F" w:themeColor="text1" w:themeTint="80"/>
          <w:sz w:val="26"/>
          <w:szCs w:val="26"/>
        </w:rPr>
        <w:t xml:space="preserve"> (система </w:t>
      </w:r>
      <w:proofErr w:type="spellStart"/>
      <w:r w:rsidRPr="00413495">
        <w:rPr>
          <w:b/>
          <w:color w:val="7F7F7F" w:themeColor="text1" w:themeTint="80"/>
          <w:sz w:val="26"/>
          <w:szCs w:val="26"/>
        </w:rPr>
        <w:t>гиротонического</w:t>
      </w:r>
      <w:proofErr w:type="spellEnd"/>
      <w:r w:rsidRPr="00413495">
        <w:rPr>
          <w:b/>
          <w:color w:val="7F7F7F" w:themeColor="text1" w:themeTint="80"/>
          <w:sz w:val="26"/>
          <w:szCs w:val="26"/>
        </w:rPr>
        <w:t xml:space="preserve"> растяжения) и упражнений по стабилизации туловища на мышечную активность и </w:t>
      </w:r>
      <w:r w:rsidR="000B4DED" w:rsidRPr="00413495">
        <w:rPr>
          <w:b/>
          <w:color w:val="7F7F7F" w:themeColor="text1" w:themeTint="80"/>
          <w:sz w:val="26"/>
          <w:szCs w:val="26"/>
        </w:rPr>
        <w:t>стабильность поясничного</w:t>
      </w:r>
      <w:r w:rsidRPr="00413495">
        <w:rPr>
          <w:b/>
          <w:color w:val="7F7F7F" w:themeColor="text1" w:themeTint="80"/>
          <w:sz w:val="26"/>
          <w:szCs w:val="26"/>
        </w:rPr>
        <w:t xml:space="preserve"> отдела у пациентов с хронической болью в пояснице</w:t>
      </w:r>
    </w:p>
    <w:p w:rsidR="00186563" w:rsidRDefault="00186563" w:rsidP="00186563">
      <w:pPr>
        <w:spacing w:after="0"/>
        <w:jc w:val="both"/>
        <w:rPr>
          <w:lang w:val="en-US"/>
        </w:rPr>
      </w:pPr>
      <w:proofErr w:type="spellStart"/>
      <w:r w:rsidRPr="00186563">
        <w:rPr>
          <w:lang w:val="en-US"/>
        </w:rPr>
        <w:t>Hye</w:t>
      </w:r>
      <w:proofErr w:type="spellEnd"/>
      <w:r w:rsidRPr="00186563">
        <w:rPr>
          <w:lang w:val="en-US"/>
        </w:rPr>
        <w:t xml:space="preserve">-Ran </w:t>
      </w:r>
      <w:proofErr w:type="spellStart"/>
      <w:r w:rsidRPr="00186563">
        <w:rPr>
          <w:lang w:val="en-US"/>
        </w:rPr>
        <w:t>Seo</w:t>
      </w:r>
      <w:proofErr w:type="spellEnd"/>
      <w:r w:rsidRPr="00186563">
        <w:rPr>
          <w:lang w:val="en-US"/>
        </w:rPr>
        <w:t>, Tae-Ho Kim*</w:t>
      </w:r>
    </w:p>
    <w:p w:rsidR="00186563" w:rsidRDefault="00186563" w:rsidP="00186563">
      <w:pPr>
        <w:spacing w:after="0"/>
        <w:jc w:val="both"/>
      </w:pPr>
      <w:r w:rsidRPr="00186563">
        <w:t xml:space="preserve">Отделение физиотерапии, Колледж реабилитационных наук, Университет Тэгу, </w:t>
      </w:r>
      <w:proofErr w:type="spellStart"/>
      <w:r w:rsidRPr="00186563">
        <w:t>Кёнсан</w:t>
      </w:r>
      <w:proofErr w:type="spellEnd"/>
      <w:r w:rsidRPr="00186563">
        <w:t>, Корея</w:t>
      </w:r>
    </w:p>
    <w:p w:rsidR="00413495" w:rsidRDefault="00413495" w:rsidP="00186563">
      <w:pPr>
        <w:spacing w:after="0"/>
        <w:jc w:val="both"/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F7"/>
        <w:tblLook w:val="04A0" w:firstRow="1" w:lastRow="0" w:firstColumn="1" w:lastColumn="0" w:noHBand="0" w:noVBand="1"/>
      </w:tblPr>
      <w:tblGrid>
        <w:gridCol w:w="9351"/>
      </w:tblGrid>
      <w:tr w:rsidR="00413495" w:rsidTr="00C35F23">
        <w:tc>
          <w:tcPr>
            <w:tcW w:w="9351" w:type="dxa"/>
            <w:shd w:val="clear" w:color="auto" w:fill="E5E5F7"/>
          </w:tcPr>
          <w:p w:rsidR="00413495" w:rsidRDefault="00413495" w:rsidP="00413495">
            <w:pPr>
              <w:jc w:val="both"/>
            </w:pPr>
            <w:proofErr w:type="spellStart"/>
            <w:r w:rsidRPr="00186563">
              <w:t>Gyrotonic</w:t>
            </w:r>
            <w:proofErr w:type="spellEnd"/>
            <w:r w:rsidRPr="00186563">
              <w:t xml:space="preserve"> </w:t>
            </w:r>
            <w:proofErr w:type="spellStart"/>
            <w:r w:rsidRPr="00186563">
              <w:t>expansion</w:t>
            </w:r>
            <w:proofErr w:type="spellEnd"/>
            <w:r w:rsidRPr="00186563">
              <w:t xml:space="preserve"> </w:t>
            </w:r>
            <w:proofErr w:type="spellStart"/>
            <w:r w:rsidRPr="00186563">
              <w:t>system</w:t>
            </w:r>
            <w:proofErr w:type="spellEnd"/>
            <w:r w:rsidRPr="00186563">
              <w:t xml:space="preserve"> включает трехмерное (3D) движение позвоночника, которое не только улучшает функциональное движение позвоночника, но также увеличивает мышечную силу и гибкость позвоночника. Это исследование было направлено на демонстрацию клинического эффекта гиротонических упражнений на пациентов с хронической болью в пояснице путем сравнения гиротонических упражнений и упражнений по стабилизации туловища.</w:t>
            </w:r>
          </w:p>
          <w:p w:rsidR="00413495" w:rsidRDefault="00413495" w:rsidP="00413495">
            <w:pPr>
              <w:jc w:val="both"/>
            </w:pPr>
            <w:r w:rsidRPr="00406D02">
              <w:t>В этом исследовании приняли участие 26 пациентов с хронической болью в пояснице, которые были случайным образом распределены в груп</w:t>
            </w:r>
            <w:r w:rsidR="000566AD">
              <w:t xml:space="preserve">пу </w:t>
            </w:r>
            <w:proofErr w:type="spellStart"/>
            <w:r w:rsidR="000566AD">
              <w:t>гиротонических</w:t>
            </w:r>
            <w:proofErr w:type="spellEnd"/>
            <w:r w:rsidR="000566AD">
              <w:t xml:space="preserve"> упражнений или</w:t>
            </w:r>
            <w:r w:rsidRPr="00406D02">
              <w:t xml:space="preserve"> в группу упражнений по стабилизации туловища. Каждая группа выполняла упражнения 3 раза в неделю в течение 4 недель. У всех испытуемых до и после упражнения измеряли активность мышц, выпрямляющих позвоночник (ES), прямых мышц живота (RA</w:t>
            </w:r>
            <w:r w:rsidR="000566AD">
              <w:t>), наружной</w:t>
            </w:r>
            <w:r>
              <w:t xml:space="preserve"> косой мышцы живота </w:t>
            </w:r>
            <w:r w:rsidRPr="00406D02">
              <w:t>(EO) и внутренней косой мышцы живота (IO) с помощью поверхностной электромиографии</w:t>
            </w:r>
            <w:r>
              <w:t xml:space="preserve">. </w:t>
            </w:r>
            <w:r w:rsidRPr="00AD7279">
              <w:t>Стабильность поясницы измеряли с помощью 3D-тестера позвоночника, а функциональную инвалидность - с помощью корейского индекса инвалидности Освестри. В группе гиротонических упражнений активность мышц ES и EO значительно увеличилась (P &lt;0,05). В группе упражнений по стабилизации туловища активность мышц ES, EO и RA значительно увеличилась (P &lt;0,05).</w:t>
            </w:r>
            <w:r>
              <w:t xml:space="preserve"> </w:t>
            </w:r>
            <w:r w:rsidRPr="00AD7279">
              <w:t>Никаких различий в мышечной активности между группами не обнаружено. Обе группы показали значительное изменение в лучшую сторону, но между группами не было отмечено значительных различий. Гиротонические упражнения и упражнения по стабилизации туловища применяются из-за их положительного воздействия на мышечную активность, стабильность поясницы и функциональные возможности у пациентов с хронической болью в пояснице. Мы предполагаем, что гиротонические упражнения являются одним из эффективных упражнений для смягчения хронической боли в пояснице, вызванной нестабильностью позвоночника.</w:t>
            </w:r>
          </w:p>
          <w:p w:rsidR="00413495" w:rsidRDefault="00413495" w:rsidP="00186563">
            <w:pPr>
              <w:jc w:val="both"/>
            </w:pPr>
            <w:r w:rsidRPr="000B4DED">
              <w:rPr>
                <w:b/>
                <w:color w:val="00B050"/>
              </w:rPr>
              <w:t>Ключевые слова</w:t>
            </w:r>
            <w:r w:rsidRPr="00AD7279">
              <w:t>: упражнения на гиротоническое растяжение, хроническая боль в пояснице, стабильность туловища, электромиография, стабильность поясницы</w:t>
            </w:r>
            <w:r>
              <w:t>.</w:t>
            </w:r>
          </w:p>
        </w:tc>
      </w:tr>
    </w:tbl>
    <w:p w:rsidR="00413495" w:rsidRDefault="00413495" w:rsidP="00186563">
      <w:pPr>
        <w:spacing w:after="0"/>
        <w:jc w:val="both"/>
      </w:pPr>
    </w:p>
    <w:p w:rsidR="0062362D" w:rsidRPr="000B4DED" w:rsidRDefault="0062362D" w:rsidP="0062362D">
      <w:pPr>
        <w:spacing w:after="0"/>
        <w:jc w:val="both"/>
        <w:rPr>
          <w:b/>
          <w:color w:val="7030A0"/>
        </w:rPr>
      </w:pPr>
      <w:r w:rsidRPr="000B4DED">
        <w:rPr>
          <w:b/>
          <w:color w:val="7030A0"/>
        </w:rPr>
        <w:t>ВСТУПЛЕНИЕ</w:t>
      </w:r>
    </w:p>
    <w:p w:rsidR="0062362D" w:rsidRDefault="0062362D" w:rsidP="0062362D">
      <w:pPr>
        <w:spacing w:after="0"/>
        <w:jc w:val="both"/>
      </w:pPr>
      <w:r>
        <w:t xml:space="preserve">Боль в спине - это боль вокруг поясничных позвонков. </w:t>
      </w:r>
      <w:proofErr w:type="spellStart"/>
      <w:r>
        <w:t>O’sullivan</w:t>
      </w:r>
      <w:proofErr w:type="spellEnd"/>
      <w:r>
        <w:t xml:space="preserve"> и др. (2003) сообщили, что в отличие от здоровых людей, пациенты с хронической болью в пояснице с большей вероятностью испытывают нестабильность позвоночника из-за несбалансированности и слабости мышц вокруг позвонков. </w:t>
      </w:r>
      <w:proofErr w:type="spellStart"/>
      <w:r>
        <w:t>Panjabi</w:t>
      </w:r>
      <w:proofErr w:type="spellEnd"/>
      <w:r>
        <w:t xml:space="preserve"> (2003) обнаружил, что мышцы вокруг позвонков были необходимы, чтобы поддерживать правильное положение поясничного отдела позвоночника и таза для предотвращения и уменьшения боли в пояснице, а </w:t>
      </w:r>
      <w:proofErr w:type="spellStart"/>
      <w:r>
        <w:t>Richardson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Jull</w:t>
      </w:r>
      <w:proofErr w:type="spellEnd"/>
      <w:r>
        <w:t xml:space="preserve"> (1995) предложили,</w:t>
      </w:r>
      <w:r w:rsidR="000566AD">
        <w:t xml:space="preserve"> что устойчивость торса достигаетс</w:t>
      </w:r>
      <w:r>
        <w:t>я в результате улучшения функций мышц, окружающих позвонки.</w:t>
      </w:r>
    </w:p>
    <w:p w:rsidR="0062362D" w:rsidRDefault="0062362D" w:rsidP="0062362D">
      <w:pPr>
        <w:spacing w:after="0"/>
        <w:jc w:val="both"/>
      </w:pPr>
      <w:r w:rsidRPr="0062362D">
        <w:t xml:space="preserve">Упражнения по стабилизации туловища - это один из самых эффективных видов упражнений, которые используются не только для пациентов с болями в пояснице, но также и в различных других областях в качестве </w:t>
      </w:r>
      <w:r w:rsidR="00C93E68">
        <w:t>воздействия</w:t>
      </w:r>
      <w:r w:rsidRPr="0062362D">
        <w:t xml:space="preserve"> для улучшения осанки и силы мышц вокруг позвонков (</w:t>
      </w:r>
      <w:proofErr w:type="spellStart"/>
      <w:r w:rsidRPr="0062362D">
        <w:t>Barr</w:t>
      </w:r>
      <w:proofErr w:type="spellEnd"/>
      <w:r w:rsidRPr="0062362D">
        <w:t xml:space="preserve"> </w:t>
      </w:r>
      <w:proofErr w:type="spellStart"/>
      <w:r w:rsidRPr="0062362D">
        <w:t>et</w:t>
      </w:r>
      <w:proofErr w:type="spellEnd"/>
      <w:r w:rsidRPr="0062362D">
        <w:t xml:space="preserve"> al.,2005). Целью упражнений по стабилизации туловища является обеспечение устойчивости поясн</w:t>
      </w:r>
      <w:r>
        <w:t>ичных позвонков, когда наружная косая мышца живота (ЕО), внутренняя косая мышца</w:t>
      </w:r>
      <w:r w:rsidRPr="00406D02">
        <w:t xml:space="preserve"> живота</w:t>
      </w:r>
      <w:r>
        <w:t xml:space="preserve"> (</w:t>
      </w:r>
      <w:r>
        <w:rPr>
          <w:lang w:val="en-US"/>
        </w:rPr>
        <w:t>IO</w:t>
      </w:r>
      <w:r>
        <w:t>), поперечная мышца</w:t>
      </w:r>
      <w:r w:rsidRPr="0062362D">
        <w:t xml:space="preserve"> живота и поясничный </w:t>
      </w:r>
      <w:proofErr w:type="spellStart"/>
      <w:r w:rsidRPr="0062362D">
        <w:t>мультифидус</w:t>
      </w:r>
      <w:proofErr w:type="spellEnd"/>
      <w:r w:rsidRPr="0062362D">
        <w:t xml:space="preserve"> задействованы в поддержании положения стоя (</w:t>
      </w:r>
      <w:proofErr w:type="spellStart"/>
      <w:r w:rsidR="00323F25">
        <w:t>Barker</w:t>
      </w:r>
      <w:proofErr w:type="spellEnd"/>
      <w:r w:rsidR="00323F25">
        <w:t xml:space="preserve"> </w:t>
      </w:r>
      <w:proofErr w:type="spellStart"/>
      <w:r w:rsidR="00323F25">
        <w:t>et</w:t>
      </w:r>
      <w:proofErr w:type="spellEnd"/>
      <w:r w:rsidR="00323F25">
        <w:t xml:space="preserve"> </w:t>
      </w:r>
      <w:proofErr w:type="spellStart"/>
      <w:r w:rsidR="00323F25">
        <w:t>al</w:t>
      </w:r>
      <w:proofErr w:type="spellEnd"/>
      <w:r w:rsidR="00323F25">
        <w:t xml:space="preserve">., 2004; </w:t>
      </w:r>
      <w:proofErr w:type="spellStart"/>
      <w:r w:rsidR="00323F25">
        <w:t>Bergmark</w:t>
      </w:r>
      <w:proofErr w:type="spellEnd"/>
      <w:r w:rsidR="00323F25">
        <w:t xml:space="preserve">, 1989; </w:t>
      </w:r>
      <w:proofErr w:type="spellStart"/>
      <w:r w:rsidR="00323F25">
        <w:t>Moseley</w:t>
      </w:r>
      <w:proofErr w:type="spellEnd"/>
      <w:r w:rsidR="00323F25">
        <w:t xml:space="preserve"> </w:t>
      </w:r>
      <w:proofErr w:type="spellStart"/>
      <w:r w:rsidR="00323F25">
        <w:t>et</w:t>
      </w:r>
      <w:proofErr w:type="spellEnd"/>
      <w:r w:rsidR="00323F25">
        <w:t xml:space="preserve"> </w:t>
      </w:r>
      <w:proofErr w:type="spellStart"/>
      <w:r w:rsidR="00323F25">
        <w:t>al</w:t>
      </w:r>
      <w:proofErr w:type="spellEnd"/>
      <w:r w:rsidR="00323F25">
        <w:t xml:space="preserve">., 2002; </w:t>
      </w:r>
      <w:proofErr w:type="spellStart"/>
      <w:r w:rsidR="00323F25">
        <w:t>Panjabi</w:t>
      </w:r>
      <w:proofErr w:type="spellEnd"/>
      <w:r w:rsidR="00323F25">
        <w:t>, 2003</w:t>
      </w:r>
      <w:r w:rsidRPr="0062362D">
        <w:t>).</w:t>
      </w:r>
    </w:p>
    <w:p w:rsidR="008F5CF0" w:rsidRDefault="00C93E68" w:rsidP="0062362D">
      <w:pPr>
        <w:spacing w:after="0"/>
        <w:jc w:val="both"/>
      </w:pPr>
      <w:r w:rsidRPr="00C93E68">
        <w:t xml:space="preserve">Упражнение, выполняемое с </w:t>
      </w:r>
      <w:proofErr w:type="spellStart"/>
      <w:r w:rsidRPr="00C93E68">
        <w:t>Gyrotonic</w:t>
      </w:r>
      <w:proofErr w:type="spellEnd"/>
      <w:r w:rsidRPr="00C93E68">
        <w:t xml:space="preserve"> </w:t>
      </w:r>
      <w:proofErr w:type="spellStart"/>
      <w:r w:rsidRPr="00C93E68">
        <w:t>expansion</w:t>
      </w:r>
      <w:proofErr w:type="spellEnd"/>
      <w:r w:rsidRPr="00C93E68">
        <w:t xml:space="preserve"> </w:t>
      </w:r>
      <w:proofErr w:type="spellStart"/>
      <w:r w:rsidRPr="00C93E68">
        <w:t>system</w:t>
      </w:r>
      <w:proofErr w:type="spellEnd"/>
      <w:r w:rsidRPr="00C93E68">
        <w:t>, является один из методов воздействия на позвоночник.</w:t>
      </w:r>
      <w:r w:rsidR="008F5CF0">
        <w:t xml:space="preserve"> </w:t>
      </w:r>
      <w:r w:rsidR="008F5CF0" w:rsidRPr="008F5CF0">
        <w:t>Оно основано на трехмерном (3D) движении и задействует специализированное оборудование, чтобы не только укрепить позвоночник, но и равномерно развить позвоночник.</w:t>
      </w:r>
      <w:r w:rsidR="008F5CF0">
        <w:t xml:space="preserve"> </w:t>
      </w:r>
      <w:r w:rsidR="008F5CF0" w:rsidRPr="008F5CF0">
        <w:t>Название происходит от сочетания слов «</w:t>
      </w:r>
      <w:proofErr w:type="spellStart"/>
      <w:r w:rsidR="008F5CF0" w:rsidRPr="008F5CF0">
        <w:t>gyro</w:t>
      </w:r>
      <w:proofErr w:type="spellEnd"/>
      <w:r w:rsidR="008F5CF0" w:rsidRPr="008F5CF0">
        <w:t>» (круг) и «</w:t>
      </w:r>
      <w:proofErr w:type="spellStart"/>
      <w:r w:rsidR="008F5CF0" w:rsidRPr="008F5CF0">
        <w:t>tonic</w:t>
      </w:r>
      <w:proofErr w:type="spellEnd"/>
      <w:r w:rsidR="008F5CF0" w:rsidRPr="008F5CF0">
        <w:t xml:space="preserve">» (укреплять). Основной принцип, </w:t>
      </w:r>
      <w:r w:rsidR="008F5CF0" w:rsidRPr="008F5CF0">
        <w:lastRenderedPageBreak/>
        <w:t>лежащий в основе гиротонических упражнений - это движение, создающей траекторию круга, спирали и волнистых кривых. Эти естественные движения улучшают мышечную силу и гибкость наряду с дыханием и совместным сокращением мышц, которые помогают растянуть каждую область тела (</w:t>
      </w:r>
      <w:proofErr w:type="spellStart"/>
      <w:r w:rsidR="008F5CF0" w:rsidRPr="008F5CF0">
        <w:t>Campbell</w:t>
      </w:r>
      <w:proofErr w:type="spellEnd"/>
      <w:r w:rsidR="008F5CF0" w:rsidRPr="008F5CF0">
        <w:t xml:space="preserve"> </w:t>
      </w:r>
      <w:proofErr w:type="spellStart"/>
      <w:r w:rsidR="008F5CF0" w:rsidRPr="008F5CF0">
        <w:t>and</w:t>
      </w:r>
      <w:proofErr w:type="spellEnd"/>
      <w:r w:rsidR="008F5CF0" w:rsidRPr="008F5CF0">
        <w:t xml:space="preserve"> </w:t>
      </w:r>
      <w:proofErr w:type="spellStart"/>
      <w:r w:rsidR="008F5CF0" w:rsidRPr="008F5CF0">
        <w:t>Miles</w:t>
      </w:r>
      <w:proofErr w:type="spellEnd"/>
      <w:r w:rsidR="008F5CF0" w:rsidRPr="008F5CF0">
        <w:t>, 2006). Одно из исследований представило доказательство влияния длины шага, ширина шага и скорости движения у пациентов с хронической болью в пояснице (</w:t>
      </w:r>
      <w:proofErr w:type="spellStart"/>
      <w:r w:rsidR="008F5CF0" w:rsidRPr="008F5CF0">
        <w:t>Seo</w:t>
      </w:r>
      <w:proofErr w:type="spellEnd"/>
      <w:r w:rsidR="008F5CF0" w:rsidRPr="008F5CF0">
        <w:t xml:space="preserve"> </w:t>
      </w:r>
      <w:proofErr w:type="spellStart"/>
      <w:r w:rsidR="008F5CF0" w:rsidRPr="008F5CF0">
        <w:t>and</w:t>
      </w:r>
      <w:proofErr w:type="spellEnd"/>
      <w:r w:rsidR="008F5CF0" w:rsidRPr="008F5CF0">
        <w:t xml:space="preserve"> </w:t>
      </w:r>
      <w:proofErr w:type="spellStart"/>
      <w:r w:rsidR="008F5CF0" w:rsidRPr="008F5CF0">
        <w:t>Park</w:t>
      </w:r>
      <w:proofErr w:type="spellEnd"/>
      <w:r w:rsidR="008F5CF0" w:rsidRPr="008F5CF0">
        <w:t xml:space="preserve">, 2016). Хотя был проведёт ряд исследований на пациентах с хронической болью в пояснице, всё ещё проведено недостаточное </w:t>
      </w:r>
      <w:r w:rsidR="00C922D7" w:rsidRPr="008F5CF0">
        <w:t>количество исследований</w:t>
      </w:r>
      <w:r w:rsidR="008F5CF0" w:rsidRPr="008F5CF0">
        <w:t xml:space="preserve"> специфического влияния гиротонических упражнений на мышечную активнос</w:t>
      </w:r>
      <w:r w:rsidR="000566AD">
        <w:t>ть и стабильность поясницы у таки</w:t>
      </w:r>
      <w:r w:rsidR="008F5CF0" w:rsidRPr="008F5CF0">
        <w:t>х пациентов</w:t>
      </w:r>
      <w:r w:rsidR="008F5CF0">
        <w:t>.</w:t>
      </w:r>
    </w:p>
    <w:p w:rsidR="008F5CF0" w:rsidRDefault="008F5CF0" w:rsidP="0062362D">
      <w:pPr>
        <w:spacing w:after="0"/>
        <w:jc w:val="both"/>
      </w:pPr>
      <w:r w:rsidRPr="008F5CF0">
        <w:t>Таким образом, цель этого исследования - это демонстрация клинического эффекта гиротонических упражнений у пациентов с хронической болью в пояснице путём сравнения влияния гиротонических упражнений и упражнений по стабилизации туловища. Мы предполагаем, что гиротонические упражнения являются эффективными упражнениями для лечения хронической боли в пояснице.</w:t>
      </w:r>
    </w:p>
    <w:p w:rsidR="00C922D7" w:rsidRDefault="00C922D7" w:rsidP="0062362D">
      <w:pPr>
        <w:spacing w:after="0"/>
        <w:jc w:val="both"/>
      </w:pPr>
    </w:p>
    <w:p w:rsidR="00C922D7" w:rsidRDefault="00C922D7" w:rsidP="00C922D7">
      <w:pPr>
        <w:spacing w:after="0"/>
        <w:jc w:val="both"/>
        <w:rPr>
          <w:b/>
          <w:color w:val="7030A0"/>
        </w:rPr>
      </w:pPr>
      <w:r w:rsidRPr="000B4DED">
        <w:rPr>
          <w:b/>
          <w:color w:val="7030A0"/>
        </w:rPr>
        <w:t>МАТЕРИАЛЫ И МЕТОДЫ</w:t>
      </w:r>
    </w:p>
    <w:p w:rsidR="000B4DED" w:rsidRPr="000B4DED" w:rsidRDefault="000B4DED" w:rsidP="00C922D7">
      <w:pPr>
        <w:spacing w:after="0"/>
        <w:jc w:val="both"/>
        <w:rPr>
          <w:b/>
          <w:color w:val="7030A0"/>
        </w:rPr>
      </w:pPr>
    </w:p>
    <w:p w:rsidR="00C922D7" w:rsidRPr="000B4DED" w:rsidRDefault="00C922D7" w:rsidP="00C922D7">
      <w:pPr>
        <w:spacing w:after="0"/>
        <w:jc w:val="both"/>
        <w:rPr>
          <w:b/>
          <w:color w:val="00B050"/>
        </w:rPr>
      </w:pPr>
      <w:r w:rsidRPr="000B4DED">
        <w:rPr>
          <w:b/>
          <w:color w:val="00B050"/>
        </w:rPr>
        <w:t>Участники исследования</w:t>
      </w:r>
    </w:p>
    <w:p w:rsidR="00C922D7" w:rsidRPr="000566AD" w:rsidRDefault="00C922D7" w:rsidP="007E51E4">
      <w:pPr>
        <w:spacing w:after="0"/>
        <w:jc w:val="both"/>
      </w:pPr>
      <w:r>
        <w:t>В исследовании приняли участие 26 пациентов (средний возраст 22,62 ±1,58 года; средний рост 166,62 ± 8,24 см; средний вес, 57,15 ±9,25 кг) (таблица 1). Подробные критерии отбора были следующими:(а) пациенты, испытывающие боль в пояснице в течение 3 месяцев или дольше и не лечившиеся от боли в пояснице; (б) пациенты, способные выполнять упражнения, несмотря на боль в пояснице; (c) пациенты, ранее не переносившие ортопедические или нейрохирургические операции на пояснице; (d) пациенты без сенсорных нарушений и без паралича мышц, вызванных неврологическими нарушениями; (д) пациенты не страдают болью в пояснице, вызванной системными заболеваниями, такими как рак или беременность; (е) пациенты без проблем с моторикой и не имеющие психические расстройства. В этом исследовании пациенты были случайным образом разделены на две группы, одна осуществляла гиротонические упражнения, а вторая -</w:t>
      </w:r>
      <w:r w:rsidR="005D5849">
        <w:t xml:space="preserve"> </w:t>
      </w:r>
      <w:r>
        <w:t>упражнения по стабилизации туловища. Все испытуемые были полностью проинформированы о цели исследов</w:t>
      </w:r>
      <w:r w:rsidR="000566AD">
        <w:t xml:space="preserve">ания и о применяемых методах. Испытуемые </w:t>
      </w:r>
      <w:r>
        <w:t>добровольно подписали документы об участии в исследовании.</w:t>
      </w:r>
      <w:r w:rsidR="007E51E4">
        <w:t xml:space="preserve"> Это</w:t>
      </w:r>
      <w:r w:rsidR="007E51E4" w:rsidRPr="000566AD">
        <w:t xml:space="preserve"> </w:t>
      </w:r>
      <w:r w:rsidR="007E51E4">
        <w:t>исследование</w:t>
      </w:r>
      <w:r w:rsidR="007E51E4" w:rsidRPr="000566AD">
        <w:t xml:space="preserve"> </w:t>
      </w:r>
      <w:r w:rsidR="007E51E4">
        <w:t>было</w:t>
      </w:r>
      <w:r w:rsidR="007E51E4" w:rsidRPr="000566AD">
        <w:t xml:space="preserve"> </w:t>
      </w:r>
      <w:r w:rsidR="007E51E4">
        <w:t>одобрено</w:t>
      </w:r>
      <w:r w:rsidR="007E51E4" w:rsidRPr="000566AD">
        <w:t xml:space="preserve"> </w:t>
      </w:r>
      <w:r w:rsidR="007E51E4" w:rsidRPr="007E51E4">
        <w:rPr>
          <w:lang w:val="en-US"/>
        </w:rPr>
        <w:t>Institutional</w:t>
      </w:r>
      <w:r w:rsidR="007E51E4" w:rsidRPr="000566AD">
        <w:t xml:space="preserve"> </w:t>
      </w:r>
      <w:r w:rsidR="007E51E4" w:rsidRPr="007E51E4">
        <w:rPr>
          <w:lang w:val="en-US"/>
        </w:rPr>
        <w:t>Review</w:t>
      </w:r>
      <w:r w:rsidR="007E51E4" w:rsidRPr="000566AD">
        <w:t xml:space="preserve"> </w:t>
      </w:r>
      <w:r w:rsidR="007E51E4" w:rsidRPr="007E51E4">
        <w:rPr>
          <w:lang w:val="en-US"/>
        </w:rPr>
        <w:t>Board</w:t>
      </w:r>
      <w:r w:rsidR="007E51E4" w:rsidRPr="000566AD">
        <w:t xml:space="preserve"> </w:t>
      </w:r>
      <w:r w:rsidR="007E51E4" w:rsidRPr="007E51E4">
        <w:rPr>
          <w:lang w:val="en-US"/>
        </w:rPr>
        <w:t>of</w:t>
      </w:r>
      <w:r w:rsidR="007E51E4" w:rsidRPr="000566AD">
        <w:t xml:space="preserve"> </w:t>
      </w:r>
      <w:r w:rsidR="007E51E4" w:rsidRPr="007E51E4">
        <w:rPr>
          <w:lang w:val="en-US"/>
        </w:rPr>
        <w:t>Daegu</w:t>
      </w:r>
      <w:r w:rsidR="007E51E4" w:rsidRPr="000566AD">
        <w:t xml:space="preserve"> </w:t>
      </w:r>
      <w:r w:rsidR="007E51E4" w:rsidRPr="007E51E4">
        <w:rPr>
          <w:lang w:val="en-US"/>
        </w:rPr>
        <w:t>University</w:t>
      </w:r>
      <w:r w:rsidR="007E51E4" w:rsidRPr="000566AD">
        <w:t xml:space="preserve"> (№: 1040621-201711-</w:t>
      </w:r>
      <w:r w:rsidR="007E51E4" w:rsidRPr="007E51E4">
        <w:rPr>
          <w:lang w:val="en-US"/>
        </w:rPr>
        <w:t>HR</w:t>
      </w:r>
      <w:r w:rsidR="007E51E4" w:rsidRPr="000566AD">
        <w:t>-030-002).</w:t>
      </w:r>
    </w:p>
    <w:p w:rsidR="00C922D7" w:rsidRPr="000566AD" w:rsidRDefault="00C922D7" w:rsidP="00C922D7">
      <w:pPr>
        <w:spacing w:after="0"/>
        <w:jc w:val="both"/>
      </w:pPr>
    </w:p>
    <w:p w:rsidR="00C922D7" w:rsidRDefault="00C922D7" w:rsidP="00C922D7">
      <w:pPr>
        <w:spacing w:after="0"/>
        <w:jc w:val="both"/>
      </w:pPr>
      <w:r w:rsidRPr="000B4DED">
        <w:rPr>
          <w:b/>
          <w:color w:val="00B050"/>
        </w:rPr>
        <w:t>Таблица 1.</w:t>
      </w:r>
      <w:r w:rsidRPr="000B4DED">
        <w:rPr>
          <w:color w:val="00B050"/>
        </w:rPr>
        <w:t xml:space="preserve"> </w:t>
      </w:r>
      <w:r w:rsidRPr="00C922D7">
        <w:t>Общие характеристики участников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400"/>
        <w:gridCol w:w="2480"/>
        <w:gridCol w:w="1020"/>
        <w:gridCol w:w="1417"/>
      </w:tblGrid>
      <w:tr w:rsidR="005D5849" w:rsidTr="000B4DED">
        <w:tc>
          <w:tcPr>
            <w:tcW w:w="0" w:type="auto"/>
            <w:shd w:val="clear" w:color="auto" w:fill="E2EFD9" w:themeFill="accent6" w:themeFillTint="33"/>
            <w:vAlign w:val="center"/>
          </w:tcPr>
          <w:p w:rsidR="00C922D7" w:rsidRDefault="00C922D7" w:rsidP="005D5849">
            <w:pPr>
              <w:jc w:val="center"/>
            </w:pPr>
            <w:r>
              <w:t>Характеристики</w:t>
            </w:r>
          </w:p>
        </w:tc>
        <w:tc>
          <w:tcPr>
            <w:tcW w:w="2400" w:type="dxa"/>
            <w:shd w:val="clear" w:color="auto" w:fill="E2EFD9" w:themeFill="accent6" w:themeFillTint="33"/>
            <w:vAlign w:val="center"/>
          </w:tcPr>
          <w:p w:rsidR="00C922D7" w:rsidRDefault="00C922D7" w:rsidP="005D5849">
            <w:pPr>
              <w:jc w:val="center"/>
            </w:pPr>
            <w:r>
              <w:t>Гиротонические</w:t>
            </w:r>
          </w:p>
          <w:p w:rsidR="00C922D7" w:rsidRDefault="00C922D7" w:rsidP="005D5849">
            <w:pPr>
              <w:jc w:val="center"/>
            </w:pPr>
            <w:r>
              <w:t>упражнения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Упражнения по</w:t>
            </w:r>
          </w:p>
          <w:p w:rsidR="005D5849" w:rsidRDefault="005D5849" w:rsidP="005D5849">
            <w:pPr>
              <w:jc w:val="center"/>
            </w:pPr>
            <w:r>
              <w:t>стабилизации туловища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C922D7" w:rsidRPr="005D5849" w:rsidRDefault="005D5849" w:rsidP="005D5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922D7" w:rsidRPr="005D5849" w:rsidRDefault="005D5849" w:rsidP="005D5849">
            <w:pPr>
              <w:jc w:val="center"/>
            </w:pPr>
            <w:r>
              <w:rPr>
                <w:lang w:val="en-US"/>
              </w:rPr>
              <w:t>P-</w:t>
            </w:r>
            <w:r>
              <w:t>значение</w:t>
            </w:r>
          </w:p>
        </w:tc>
      </w:tr>
      <w:tr w:rsidR="005D5849" w:rsidTr="000B4DED">
        <w:tc>
          <w:tcPr>
            <w:tcW w:w="0" w:type="auto"/>
            <w:vAlign w:val="center"/>
          </w:tcPr>
          <w:p w:rsidR="00C922D7" w:rsidRDefault="005D5849" w:rsidP="005D5849">
            <w:pPr>
              <w:jc w:val="center"/>
            </w:pPr>
            <w:r>
              <w:t xml:space="preserve">Пол, </w:t>
            </w:r>
            <w:proofErr w:type="spellStart"/>
            <w:r>
              <w:t>муж.:жен</w:t>
            </w:r>
            <w:proofErr w:type="spellEnd"/>
            <w:r>
              <w:t>.</w:t>
            </w:r>
          </w:p>
        </w:tc>
        <w:tc>
          <w:tcPr>
            <w:tcW w:w="2400" w:type="dxa"/>
            <w:vAlign w:val="center"/>
          </w:tcPr>
          <w:p w:rsidR="00C922D7" w:rsidRDefault="005D5849" w:rsidP="005D5849">
            <w:pPr>
              <w:jc w:val="center"/>
            </w:pPr>
            <w:r>
              <w:t>6:7</w:t>
            </w:r>
          </w:p>
        </w:tc>
        <w:tc>
          <w:tcPr>
            <w:tcW w:w="0" w:type="auto"/>
            <w:vAlign w:val="center"/>
          </w:tcPr>
          <w:p w:rsidR="00C922D7" w:rsidRDefault="005D5849" w:rsidP="005D5849">
            <w:pPr>
              <w:jc w:val="center"/>
            </w:pPr>
            <w:r>
              <w:t>5:8</w:t>
            </w:r>
          </w:p>
        </w:tc>
        <w:tc>
          <w:tcPr>
            <w:tcW w:w="1020" w:type="dxa"/>
            <w:vAlign w:val="center"/>
          </w:tcPr>
          <w:p w:rsidR="00C922D7" w:rsidRDefault="00C922D7" w:rsidP="005D584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22D7" w:rsidRDefault="00C922D7" w:rsidP="005D5849">
            <w:pPr>
              <w:jc w:val="center"/>
            </w:pPr>
          </w:p>
        </w:tc>
      </w:tr>
      <w:tr w:rsidR="005D5849" w:rsidTr="000B4DED">
        <w:tc>
          <w:tcPr>
            <w:tcW w:w="0" w:type="auto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Возраст, года</w:t>
            </w:r>
          </w:p>
        </w:tc>
        <w:tc>
          <w:tcPr>
            <w:tcW w:w="2400" w:type="dxa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22.31± 1.60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22.92± 1.55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-0.19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0.851</w:t>
            </w:r>
          </w:p>
        </w:tc>
      </w:tr>
      <w:tr w:rsidR="005D5849" w:rsidTr="000B4DED">
        <w:tc>
          <w:tcPr>
            <w:tcW w:w="0" w:type="auto"/>
            <w:vAlign w:val="center"/>
          </w:tcPr>
          <w:p w:rsidR="00C922D7" w:rsidRDefault="005D5849" w:rsidP="005D5849">
            <w:pPr>
              <w:jc w:val="center"/>
            </w:pPr>
            <w:r>
              <w:t>Рост, см</w:t>
            </w:r>
          </w:p>
        </w:tc>
        <w:tc>
          <w:tcPr>
            <w:tcW w:w="2400" w:type="dxa"/>
            <w:vAlign w:val="center"/>
          </w:tcPr>
          <w:p w:rsidR="00C922D7" w:rsidRDefault="005D5849" w:rsidP="005D5849">
            <w:pPr>
              <w:jc w:val="center"/>
            </w:pPr>
            <w:r>
              <w:t>166.31± 7.84</w:t>
            </w:r>
          </w:p>
        </w:tc>
        <w:tc>
          <w:tcPr>
            <w:tcW w:w="0" w:type="auto"/>
            <w:vAlign w:val="center"/>
          </w:tcPr>
          <w:p w:rsidR="00C922D7" w:rsidRDefault="005D5849" w:rsidP="005D5849">
            <w:pPr>
              <w:jc w:val="center"/>
            </w:pPr>
            <w:r>
              <w:t>166.92± 8.62</w:t>
            </w:r>
          </w:p>
        </w:tc>
        <w:tc>
          <w:tcPr>
            <w:tcW w:w="1020" w:type="dxa"/>
            <w:vAlign w:val="center"/>
          </w:tcPr>
          <w:p w:rsidR="00C922D7" w:rsidRDefault="005D5849" w:rsidP="005D5849">
            <w:pPr>
              <w:jc w:val="center"/>
            </w:pPr>
            <w:r>
              <w:t>0.68</w:t>
            </w:r>
          </w:p>
        </w:tc>
        <w:tc>
          <w:tcPr>
            <w:tcW w:w="1417" w:type="dxa"/>
            <w:vAlign w:val="center"/>
          </w:tcPr>
          <w:p w:rsidR="00C922D7" w:rsidRDefault="005D5849" w:rsidP="005D5849">
            <w:pPr>
              <w:jc w:val="center"/>
            </w:pPr>
            <w:r>
              <w:t>0.505</w:t>
            </w:r>
          </w:p>
        </w:tc>
      </w:tr>
      <w:tr w:rsidR="005D5849" w:rsidTr="000B4DED">
        <w:tc>
          <w:tcPr>
            <w:tcW w:w="0" w:type="auto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Вес, кг</w:t>
            </w:r>
          </w:p>
        </w:tc>
        <w:tc>
          <w:tcPr>
            <w:tcW w:w="2400" w:type="dxa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57.15± 9.73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57.13± 8.76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0.99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922D7" w:rsidRDefault="005D5849" w:rsidP="005D5849">
            <w:pPr>
              <w:jc w:val="center"/>
            </w:pPr>
            <w:r>
              <w:t>0.330</w:t>
            </w:r>
          </w:p>
        </w:tc>
      </w:tr>
    </w:tbl>
    <w:p w:rsidR="00C922D7" w:rsidRDefault="005D5849" w:rsidP="00C922D7">
      <w:pPr>
        <w:spacing w:after="0"/>
        <w:jc w:val="both"/>
      </w:pPr>
      <w:r w:rsidRPr="005D5849">
        <w:t>Значения представлены в виде числа или среднего</w:t>
      </w:r>
      <w:r>
        <w:t xml:space="preserve"> значения</w:t>
      </w:r>
      <w:r w:rsidRPr="005D5849">
        <w:t xml:space="preserve"> ± стандартное отклонение</w:t>
      </w:r>
    </w:p>
    <w:p w:rsidR="009B2929" w:rsidRDefault="009B2929" w:rsidP="00C922D7">
      <w:pPr>
        <w:spacing w:after="0"/>
        <w:jc w:val="both"/>
      </w:pPr>
    </w:p>
    <w:p w:rsidR="009B2929" w:rsidRDefault="009B2929" w:rsidP="009B2929">
      <w:pPr>
        <w:spacing w:after="0"/>
        <w:jc w:val="both"/>
      </w:pPr>
      <w:r>
        <w:t xml:space="preserve">Программа гиротонических упражнений включала использование оборудования производства </w:t>
      </w:r>
      <w:proofErr w:type="spellStart"/>
      <w:r>
        <w:t>Gyrotonic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(Нью-Йорк, США). Программа гиротонических упражнений состояла из разминки, основного упражнения и упражнений на расслабление. Согласно оценке физической нагрузки (PRE), сила разминки составляла от 9 (ощущается очень легко) до 11 (ощущается легко), основное упражнение - от 13 (ощущается немного тяжело) до 15 (ощущается тяжело), а упражнение на расслабление - 9. Во время разминки использовались пять движений поясничного отдела позвоночника. </w:t>
      </w:r>
    </w:p>
    <w:p w:rsidR="009B2929" w:rsidRDefault="009B2929" w:rsidP="009B2929">
      <w:pPr>
        <w:spacing w:after="0"/>
        <w:jc w:val="both"/>
      </w:pPr>
      <w:r>
        <w:lastRenderedPageBreak/>
        <w:t>Основными движениями в упражнении были так называемые движения "арка" и "изгиб" (4 движения), серия движений на подколенное сухожилие (восемь движений), серия движений на верхнюю часть туловища (одно движение) и серия движений на мышцы брюшного пресса. Во время заминки использовались два движения.</w:t>
      </w:r>
    </w:p>
    <w:p w:rsidR="00056698" w:rsidRDefault="00056698" w:rsidP="009B2929">
      <w:pPr>
        <w:spacing w:after="0"/>
        <w:jc w:val="both"/>
      </w:pPr>
    </w:p>
    <w:p w:rsidR="00056698" w:rsidRPr="000B4DED" w:rsidRDefault="00056698" w:rsidP="00056698">
      <w:pPr>
        <w:spacing w:after="0"/>
        <w:jc w:val="both"/>
        <w:rPr>
          <w:b/>
          <w:color w:val="00B050"/>
        </w:rPr>
      </w:pPr>
      <w:r w:rsidRPr="000B4DED">
        <w:rPr>
          <w:b/>
          <w:color w:val="00B050"/>
        </w:rPr>
        <w:t>Программа упражнений по стабилизации туловища</w:t>
      </w:r>
    </w:p>
    <w:p w:rsidR="00056698" w:rsidRDefault="00056698" w:rsidP="00056698">
      <w:pPr>
        <w:spacing w:after="0"/>
        <w:jc w:val="both"/>
      </w:pPr>
      <w:r>
        <w:t>В упражнения по стабилизации туловища использовались маты и швейцарские мячи (мячи для фитнеса). Размеры и количество воздуха в швейцарских мячах регулировалось в соответствии с пожеланиями участников исследования. Упражнения по стабилизации туловища получили следующие оценки RPE: разминка 9–11; основные упражнения 13–15; охлаждение 9. Для разминки использовались простые упражнения на растяжку и глубокое дыхание. Основные упражнения включали девять упражнения по стабилизации туловища на мате и семь упражнений по стабилизации туловища с мячом (всего 16 различных движения по десять повторений каждого). Простая растяжка и глубокое дыхание выполнялось в качестве упражнений на заминку (</w:t>
      </w:r>
      <w:proofErr w:type="spellStart"/>
      <w:r>
        <w:t>Koumantakis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2005; </w:t>
      </w:r>
      <w:proofErr w:type="spellStart"/>
      <w:r>
        <w:t>Marshall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Murphy</w:t>
      </w:r>
      <w:proofErr w:type="spellEnd"/>
      <w:r>
        <w:t>, 2005)</w:t>
      </w:r>
      <w:r w:rsidR="0054116E">
        <w:t>.</w:t>
      </w:r>
    </w:p>
    <w:p w:rsidR="0054116E" w:rsidRDefault="0054116E" w:rsidP="00056698">
      <w:pPr>
        <w:spacing w:after="0"/>
        <w:jc w:val="both"/>
      </w:pPr>
    </w:p>
    <w:p w:rsidR="0054116E" w:rsidRPr="000B4DED" w:rsidRDefault="0054116E" w:rsidP="0054116E">
      <w:pPr>
        <w:spacing w:after="0"/>
        <w:jc w:val="both"/>
        <w:rPr>
          <w:b/>
          <w:color w:val="00B050"/>
        </w:rPr>
      </w:pPr>
      <w:r w:rsidRPr="000B4DED">
        <w:rPr>
          <w:b/>
          <w:color w:val="00B050"/>
        </w:rPr>
        <w:t>Мышечная активность</w:t>
      </w:r>
    </w:p>
    <w:p w:rsidR="00EC5160" w:rsidRDefault="0054116E" w:rsidP="0054116E">
      <w:pPr>
        <w:spacing w:after="0"/>
        <w:jc w:val="both"/>
      </w:pPr>
      <w:r>
        <w:t>Поверхностная электромиография (</w:t>
      </w:r>
      <w:proofErr w:type="spellStart"/>
      <w:r>
        <w:t>пЭМГ</w:t>
      </w:r>
      <w:proofErr w:type="spellEnd"/>
      <w:r>
        <w:t xml:space="preserve">) 8-канальным </w:t>
      </w:r>
      <w:proofErr w:type="spellStart"/>
      <w:r>
        <w:t>TeleMyo</w:t>
      </w:r>
      <w:proofErr w:type="spellEnd"/>
      <w:r>
        <w:t xml:space="preserve"> DTS (</w:t>
      </w:r>
      <w:proofErr w:type="spellStart"/>
      <w:r>
        <w:t>Noraxon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Scottsdale</w:t>
      </w:r>
      <w:proofErr w:type="spellEnd"/>
      <w:r>
        <w:t>, AZ, USA)., использовалась для измерения мышечной активности. Мы измерили активность мышцы, выпрямляющей позвоночник (ES), прямой мышцы живота (RA), EO и IO, которые отвечают за стабилизацию туловища. Электроды прикрепляли к каждой из мышц после отметки нужных мест маркером в соответствии с предыдущими исследованиями (</w:t>
      </w:r>
      <w:proofErr w:type="spellStart"/>
      <w:r>
        <w:t>Cram</w:t>
      </w:r>
      <w:proofErr w:type="spellEnd"/>
      <w:r>
        <w:t xml:space="preserve">, 2003; </w:t>
      </w:r>
      <w:proofErr w:type="spellStart"/>
      <w:r>
        <w:t>Imai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2010). Сигнал ЭМГ был обработан для фильтрации других сигналов персонального компьютера, а частота дискретизации сигнала ЭМГ была установлена на 1000 Гц. Усиленный сигнал, состоявший из полосового фильтра 40–400 Гц и среднеквадратичного значения шума 60 Гц (RMS), использовался для количественной оценки сигналов ЭМГ (</w:t>
      </w:r>
      <w:proofErr w:type="spellStart"/>
      <w:r>
        <w:t>Ritvanen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2007).</w:t>
      </w:r>
      <w:r w:rsidR="00EC5160">
        <w:t xml:space="preserve"> </w:t>
      </w:r>
      <w:r w:rsidR="00EC5160" w:rsidRPr="00EC5160">
        <w:t xml:space="preserve">В этом исследовании были нормализованы эффективные средние значения, используя </w:t>
      </w:r>
      <w:proofErr w:type="spellStart"/>
      <w:r w:rsidR="00EC5160" w:rsidRPr="00EC5160">
        <w:t>референтные</w:t>
      </w:r>
      <w:proofErr w:type="spellEnd"/>
      <w:r w:rsidR="00EC5160" w:rsidRPr="00EC5160">
        <w:t xml:space="preserve"> значения произвольного сокращения (RVC). </w:t>
      </w:r>
      <w:proofErr w:type="spellStart"/>
      <w:r w:rsidR="00EC5160" w:rsidRPr="00EC5160">
        <w:t>Референтным</w:t>
      </w:r>
      <w:proofErr w:type="spellEnd"/>
      <w:r w:rsidR="00EC5160" w:rsidRPr="00EC5160">
        <w:t xml:space="preserve"> положение тела RVC был мост лежа с использованием мяча. Каждый участник сохранял это положение в течение 5 секунд, а затем повторял движение 3 раза. Для каждого испытуемого мы использовали средние значения. Для измерения мышечной активности каждый испытуемый садился на мяч и сгибал одну ногу до груди. Каждый испытуемый сохранял это положение в течение 5 секунд и затем повторял движение 3 раза. Для каждого участника исследования мы использовали средние значения средних 3 сек. Мышечная активность была нормализованы до %RVC как процент от RMS измеренного положение относительно RMS </w:t>
      </w:r>
      <w:proofErr w:type="spellStart"/>
      <w:r w:rsidR="00EC5160" w:rsidRPr="00EC5160">
        <w:t>референтного</w:t>
      </w:r>
      <w:proofErr w:type="spellEnd"/>
      <w:r w:rsidR="00EC5160" w:rsidRPr="00EC5160">
        <w:t xml:space="preserve"> положения.</w:t>
      </w:r>
    </w:p>
    <w:p w:rsidR="005D0EB5" w:rsidRDefault="005D0EB5" w:rsidP="0054116E">
      <w:pPr>
        <w:spacing w:after="0"/>
        <w:jc w:val="both"/>
      </w:pPr>
    </w:p>
    <w:p w:rsidR="005D0EB5" w:rsidRPr="000B4DED" w:rsidRDefault="005D0EB5" w:rsidP="005D0EB5">
      <w:pPr>
        <w:spacing w:after="0"/>
        <w:jc w:val="both"/>
        <w:rPr>
          <w:b/>
          <w:color w:val="00B050"/>
        </w:rPr>
      </w:pPr>
      <w:r w:rsidRPr="000B4DED">
        <w:rPr>
          <w:b/>
          <w:color w:val="00B050"/>
        </w:rPr>
        <w:t>Стабильность поясничного отдела</w:t>
      </w:r>
    </w:p>
    <w:p w:rsidR="005D0EB5" w:rsidRDefault="005D0EB5" w:rsidP="005D0EB5">
      <w:pPr>
        <w:spacing w:after="0"/>
        <w:jc w:val="both"/>
      </w:pPr>
      <w:r>
        <w:t xml:space="preserve">Для сравнения устойчивости поясницы в данном исследовании применялся аппарат 3D </w:t>
      </w:r>
      <w:proofErr w:type="spellStart"/>
      <w:r>
        <w:t>Newton</w:t>
      </w:r>
      <w:proofErr w:type="spellEnd"/>
      <w:r>
        <w:t xml:space="preserve"> (</w:t>
      </w:r>
      <w:proofErr w:type="spellStart"/>
      <w:r>
        <w:t>Hanmed</w:t>
      </w:r>
      <w:proofErr w:type="spellEnd"/>
      <w:r>
        <w:t xml:space="preserve">, </w:t>
      </w:r>
      <w:proofErr w:type="spellStart"/>
      <w:r>
        <w:t>Gimhae</w:t>
      </w:r>
      <w:proofErr w:type="spellEnd"/>
      <w:r>
        <w:t xml:space="preserve">, </w:t>
      </w:r>
      <w:proofErr w:type="spellStart"/>
      <w:r>
        <w:t>Korea</w:t>
      </w:r>
      <w:proofErr w:type="spellEnd"/>
      <w:r>
        <w:t xml:space="preserve">). Аппарат 3D </w:t>
      </w:r>
      <w:proofErr w:type="spellStart"/>
      <w:r>
        <w:t>Newton</w:t>
      </w:r>
      <w:proofErr w:type="spellEnd"/>
      <w:r>
        <w:t xml:space="preserve"> был в этом исследовании одним из видов оборудования, используемого для измерения стабильности позвоночника. Мы проводили измерения при правильной осанке у испытуемых, при наклоне на 30 ° в восьми направлениях (вперед, назад, вправо, влево, посередине между вперёд и вправо, вперёд и влево, назад и вправо, назад и влево). При наклоне на 30 ° мы измеряли максимальное время удержания (в секундах) для каждого испытуемого. Если испытуемые чувствовали усталость, боль или они хотели прекратить измерение, процесс немедленно останавливали. Оценивание повторялось 3 раза, и каждый участник имел достаточно времени на отдых между подходами. В исследовании использовалось среднее значение измеренного времени.</w:t>
      </w:r>
    </w:p>
    <w:p w:rsidR="00ED0D76" w:rsidRDefault="00ED0D76" w:rsidP="005D0EB5">
      <w:pPr>
        <w:spacing w:after="0"/>
        <w:jc w:val="both"/>
      </w:pPr>
    </w:p>
    <w:p w:rsidR="005D0EB5" w:rsidRPr="000B4DED" w:rsidRDefault="005D0EB5" w:rsidP="005D0EB5">
      <w:pPr>
        <w:spacing w:after="0"/>
        <w:jc w:val="both"/>
        <w:rPr>
          <w:b/>
          <w:color w:val="00B050"/>
        </w:rPr>
      </w:pPr>
      <w:r w:rsidRPr="000B4DED">
        <w:rPr>
          <w:b/>
          <w:color w:val="00B050"/>
        </w:rPr>
        <w:t>Индекс функциональной инвалидности</w:t>
      </w:r>
    </w:p>
    <w:p w:rsidR="005D0EB5" w:rsidRDefault="005D0EB5" w:rsidP="005D0EB5">
      <w:pPr>
        <w:spacing w:after="0"/>
        <w:jc w:val="both"/>
      </w:pPr>
      <w:r>
        <w:lastRenderedPageBreak/>
        <w:t>Для сравнения функциональной инвалидности, вызванной хронической болью в пояснице использовался Корейский индекс инвалидности Освестри (KODI). Девять секций KODI включают вопросы касающиеся боли, личного ухода, подъема, ходьбы, сидения, сна, общественной жизни и путешествий (мы исключили половую жизнь, потому что испытуемые как правило избегают ответов на данные вопросы). По каждой секции можно набрать максимум 5 баллов, а общая оценка составляет максимум 45 баллов. Баллы по каждой из 9 секций были разделены на общий балл и преобразованы в процентное соотношение (балл измерения / общий балл × 100). Низкие баллы указывают на низкое качество жизни, связанное с болью в спине (</w:t>
      </w:r>
      <w:proofErr w:type="spellStart"/>
      <w:r>
        <w:t>Kim</w:t>
      </w:r>
      <w:proofErr w:type="spellEnd"/>
      <w:r w:rsidR="00BD2404"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2005).</w:t>
      </w:r>
    </w:p>
    <w:p w:rsidR="00CE0CA2" w:rsidRDefault="00CE0CA2" w:rsidP="005D0EB5">
      <w:pPr>
        <w:spacing w:after="0"/>
        <w:jc w:val="both"/>
      </w:pPr>
    </w:p>
    <w:p w:rsidR="00CE0CA2" w:rsidRPr="000B4DED" w:rsidRDefault="00CE0CA2" w:rsidP="00CE0CA2">
      <w:pPr>
        <w:spacing w:after="0"/>
        <w:jc w:val="both"/>
        <w:rPr>
          <w:b/>
          <w:color w:val="00B050"/>
        </w:rPr>
      </w:pPr>
      <w:r w:rsidRPr="000B4DED">
        <w:rPr>
          <w:b/>
          <w:color w:val="00B050"/>
        </w:rPr>
        <w:t>Статистический анализ</w:t>
      </w:r>
    </w:p>
    <w:p w:rsidR="00CE0CA2" w:rsidRDefault="00CE0CA2" w:rsidP="00CE0CA2">
      <w:pPr>
        <w:spacing w:after="0"/>
        <w:jc w:val="both"/>
      </w:pPr>
      <w:r>
        <w:t>Для статистической обработки и анализа использовали</w:t>
      </w:r>
      <w:r w:rsidR="00BD2404">
        <w:t xml:space="preserve"> </w:t>
      </w:r>
      <w:r>
        <w:t xml:space="preserve">IBM SPSS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. 23.0 (IBM </w:t>
      </w:r>
      <w:proofErr w:type="spellStart"/>
      <w:r>
        <w:t>Co</w:t>
      </w:r>
      <w:proofErr w:type="spellEnd"/>
      <w:r>
        <w:t xml:space="preserve">., </w:t>
      </w:r>
      <w:proofErr w:type="spellStart"/>
      <w:r>
        <w:t>Armonk</w:t>
      </w:r>
      <w:proofErr w:type="spellEnd"/>
      <w:r>
        <w:t>, NY, USA).</w:t>
      </w:r>
    </w:p>
    <w:p w:rsidR="00837844" w:rsidRDefault="00837844" w:rsidP="00CE0CA2">
      <w:pPr>
        <w:spacing w:after="0"/>
        <w:jc w:val="both"/>
      </w:pPr>
    </w:p>
    <w:p w:rsidR="00837844" w:rsidRDefault="00837844" w:rsidP="00CE0CA2">
      <w:pPr>
        <w:spacing w:after="0"/>
        <w:jc w:val="both"/>
      </w:pPr>
      <w:r w:rsidRPr="000B4DED">
        <w:rPr>
          <w:b/>
          <w:color w:val="00B050"/>
        </w:rPr>
        <w:t>Таблица 2.</w:t>
      </w:r>
      <w:r w:rsidRPr="000B4DED">
        <w:rPr>
          <w:color w:val="00B050"/>
        </w:rPr>
        <w:t xml:space="preserve"> </w:t>
      </w:r>
      <w:r w:rsidRPr="00837844">
        <w:t>Сравнение показаний электромиографии по каждому упражнению (единица</w:t>
      </w:r>
      <w:r>
        <w:t xml:space="preserve"> измерения</w:t>
      </w:r>
      <w:r w:rsidRPr="00837844">
        <w:t>:</w:t>
      </w:r>
      <w:r>
        <w:t xml:space="preserve"> </w:t>
      </w:r>
      <w:r w:rsidRPr="00837844">
        <w:t>% RVC)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56"/>
        <w:gridCol w:w="1238"/>
        <w:gridCol w:w="1275"/>
      </w:tblGrid>
      <w:tr w:rsidR="00566F53" w:rsidRPr="00566F53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Параметр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До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После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Разность зна</w:t>
            </w:r>
            <w:r w:rsidR="00370AFB">
              <w:rPr>
                <w:sz w:val="18"/>
                <w:szCs w:val="18"/>
              </w:rPr>
              <w:t>чений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566F53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  <w:lang w:val="en-US"/>
              </w:rPr>
              <w:t>P-</w:t>
            </w:r>
            <w:r w:rsidRPr="00566F53">
              <w:rPr>
                <w:sz w:val="18"/>
                <w:szCs w:val="18"/>
              </w:rPr>
              <w:t>значение</w:t>
            </w:r>
          </w:p>
        </w:tc>
      </w:tr>
      <w:tr w:rsidR="000B4DED" w:rsidRPr="00566F53" w:rsidTr="00BA5089">
        <w:tc>
          <w:tcPr>
            <w:tcW w:w="2552" w:type="dxa"/>
            <w:vAlign w:val="center"/>
          </w:tcPr>
          <w:p w:rsidR="00BF16F5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Мышца, выпрямляющая позвоночник</w:t>
            </w:r>
            <w:r w:rsidRPr="00566F53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0B4DED" w:rsidRPr="00566F53" w:rsidTr="00BA5089">
        <w:tc>
          <w:tcPr>
            <w:tcW w:w="2552" w:type="dxa"/>
            <w:vAlign w:val="center"/>
          </w:tcPr>
          <w:p w:rsidR="00BF16F5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Гиротонические упражнения</w:t>
            </w:r>
          </w:p>
        </w:tc>
        <w:tc>
          <w:tcPr>
            <w:tcW w:w="1418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46.05± 32.99</w:t>
            </w:r>
          </w:p>
        </w:tc>
        <w:tc>
          <w:tcPr>
            <w:tcW w:w="1417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75.65± 33.65</w:t>
            </w:r>
          </w:p>
        </w:tc>
        <w:tc>
          <w:tcPr>
            <w:tcW w:w="1456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29.61± 38.67</w:t>
            </w:r>
          </w:p>
        </w:tc>
        <w:tc>
          <w:tcPr>
            <w:tcW w:w="1238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2.76</w:t>
            </w:r>
          </w:p>
        </w:tc>
        <w:tc>
          <w:tcPr>
            <w:tcW w:w="1275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0.017*</w:t>
            </w:r>
          </w:p>
        </w:tc>
      </w:tr>
      <w:tr w:rsidR="000B4DED" w:rsidRPr="00566F53" w:rsidTr="00BA5089">
        <w:tc>
          <w:tcPr>
            <w:tcW w:w="2552" w:type="dxa"/>
            <w:vAlign w:val="center"/>
          </w:tcPr>
          <w:p w:rsidR="00BF16F5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Упражнения по стабилизации туловища</w:t>
            </w:r>
          </w:p>
        </w:tc>
        <w:tc>
          <w:tcPr>
            <w:tcW w:w="1418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55.31± 47.95</w:t>
            </w:r>
          </w:p>
        </w:tc>
        <w:tc>
          <w:tcPr>
            <w:tcW w:w="1417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86.13± 72.12</w:t>
            </w:r>
          </w:p>
        </w:tc>
        <w:tc>
          <w:tcPr>
            <w:tcW w:w="1456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30.82± 36.37</w:t>
            </w:r>
          </w:p>
        </w:tc>
        <w:tc>
          <w:tcPr>
            <w:tcW w:w="1238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3.05</w:t>
            </w:r>
          </w:p>
        </w:tc>
        <w:tc>
          <w:tcPr>
            <w:tcW w:w="1275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0.010*</w:t>
            </w:r>
          </w:p>
        </w:tc>
      </w:tr>
      <w:tr w:rsidR="000B4DED" w:rsidRPr="00566F53" w:rsidTr="00BA5089">
        <w:tc>
          <w:tcPr>
            <w:tcW w:w="2552" w:type="dxa"/>
            <w:vAlign w:val="center"/>
          </w:tcPr>
          <w:p w:rsidR="00BF16F5" w:rsidRPr="00566F53" w:rsidRDefault="00566F53" w:rsidP="000B4DED">
            <w:pPr>
              <w:spacing w:line="312" w:lineRule="auto"/>
              <w:rPr>
                <w:sz w:val="18"/>
                <w:szCs w:val="18"/>
                <w:lang w:val="en-US"/>
              </w:rPr>
            </w:pPr>
            <w:r w:rsidRPr="00566F53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-0.570</w:t>
            </w:r>
          </w:p>
        </w:tc>
        <w:tc>
          <w:tcPr>
            <w:tcW w:w="1417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566F5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56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0.780</w:t>
            </w:r>
          </w:p>
        </w:tc>
        <w:tc>
          <w:tcPr>
            <w:tcW w:w="1238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0B4DED" w:rsidRPr="00566F53" w:rsidTr="00BA5089">
        <w:tc>
          <w:tcPr>
            <w:tcW w:w="2552" w:type="dxa"/>
            <w:vAlign w:val="center"/>
          </w:tcPr>
          <w:p w:rsidR="00BF16F5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  <w:lang w:val="en-US"/>
              </w:rPr>
              <w:t>P-</w:t>
            </w:r>
            <w:r w:rsidRPr="00566F53">
              <w:rPr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0.571</w:t>
            </w:r>
          </w:p>
        </w:tc>
        <w:tc>
          <w:tcPr>
            <w:tcW w:w="1417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566F5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56" w:type="dxa"/>
            <w:vAlign w:val="center"/>
          </w:tcPr>
          <w:p w:rsidR="00BF16F5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0.935</w:t>
            </w:r>
          </w:p>
        </w:tc>
        <w:tc>
          <w:tcPr>
            <w:tcW w:w="1238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16F5" w:rsidRPr="00566F53" w:rsidRDefault="00BF16F5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66F53" w:rsidRPr="00566F53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BF16F5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  <w:lang w:val="en-US"/>
              </w:rPr>
              <w:t>Прямая мышца живота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BF16F5" w:rsidRPr="00566F53" w:rsidRDefault="00BF16F5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566F53" w:rsidRPr="00566F53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Гиротонические упражнения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130.91± 68.77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139.20± 87.13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8.33± 20.68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1.45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0.172</w:t>
            </w:r>
          </w:p>
        </w:tc>
      </w:tr>
      <w:tr w:rsidR="00566F53" w:rsidRPr="00566F53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Упражнения по стабилизации туловища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136.26± 34.58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157.67± 64.02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21.41± 35.26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2.19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0.049*</w:t>
            </w:r>
          </w:p>
        </w:tc>
      </w:tr>
      <w:tr w:rsidR="00566F53" w:rsidRPr="00566F53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rPr>
                <w:sz w:val="18"/>
                <w:szCs w:val="18"/>
                <w:lang w:val="en-US"/>
              </w:rPr>
            </w:pPr>
            <w:r w:rsidRPr="00566F53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-0.250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0.382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566F53" w:rsidRPr="003C6628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66F53" w:rsidRPr="003C6628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66F53" w:rsidRPr="00566F53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  <w:lang w:val="en-US"/>
              </w:rPr>
              <w:t>P-</w:t>
            </w:r>
            <w:r w:rsidRPr="00566F53">
              <w:rPr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0.804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C6628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566F53" w:rsidRPr="003C6628" w:rsidRDefault="003C6628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C6628">
              <w:rPr>
                <w:sz w:val="18"/>
                <w:szCs w:val="18"/>
              </w:rPr>
              <w:t>0.260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566F53" w:rsidRPr="003C6628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566F53" w:rsidRPr="003C6628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66F53" w:rsidRPr="00566F53" w:rsidTr="00BA5089">
        <w:tc>
          <w:tcPr>
            <w:tcW w:w="2552" w:type="dxa"/>
            <w:vAlign w:val="center"/>
          </w:tcPr>
          <w:p w:rsidR="00566F53" w:rsidRPr="00566F53" w:rsidRDefault="008D5ECC" w:rsidP="000B4DED">
            <w:pPr>
              <w:spacing w:line="312" w:lineRule="auto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Наружная косая мышца живота</w:t>
            </w:r>
          </w:p>
        </w:tc>
        <w:tc>
          <w:tcPr>
            <w:tcW w:w="1418" w:type="dxa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6F53" w:rsidRPr="00566F53" w:rsidRDefault="00566F53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D5ECC" w:rsidRPr="00566F53" w:rsidTr="00BA5089">
        <w:tc>
          <w:tcPr>
            <w:tcW w:w="2552" w:type="dxa"/>
            <w:vAlign w:val="center"/>
          </w:tcPr>
          <w:p w:rsidR="008D5ECC" w:rsidRPr="00566F53" w:rsidRDefault="008D5ECC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Гиротонические упражнения</w:t>
            </w:r>
          </w:p>
        </w:tc>
        <w:tc>
          <w:tcPr>
            <w:tcW w:w="141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84.41± 17.91</w:t>
            </w:r>
          </w:p>
        </w:tc>
        <w:tc>
          <w:tcPr>
            <w:tcW w:w="1417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102.65± 26.00</w:t>
            </w:r>
          </w:p>
        </w:tc>
        <w:tc>
          <w:tcPr>
            <w:tcW w:w="1456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18.23± 18.13</w:t>
            </w:r>
          </w:p>
        </w:tc>
        <w:tc>
          <w:tcPr>
            <w:tcW w:w="123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3.63</w:t>
            </w:r>
          </w:p>
        </w:tc>
        <w:tc>
          <w:tcPr>
            <w:tcW w:w="1275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0.003*</w:t>
            </w:r>
          </w:p>
        </w:tc>
      </w:tr>
      <w:tr w:rsidR="008D5ECC" w:rsidRPr="00566F53" w:rsidTr="00BA5089">
        <w:tc>
          <w:tcPr>
            <w:tcW w:w="2552" w:type="dxa"/>
            <w:vAlign w:val="center"/>
          </w:tcPr>
          <w:p w:rsidR="008D5ECC" w:rsidRPr="00566F53" w:rsidRDefault="008D5ECC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</w:rPr>
              <w:t>Упражнения по стабилизации туловища</w:t>
            </w:r>
          </w:p>
        </w:tc>
        <w:tc>
          <w:tcPr>
            <w:tcW w:w="141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92.27± 25.67</w:t>
            </w:r>
          </w:p>
        </w:tc>
        <w:tc>
          <w:tcPr>
            <w:tcW w:w="1417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107.71± 27.88</w:t>
            </w:r>
          </w:p>
        </w:tc>
        <w:tc>
          <w:tcPr>
            <w:tcW w:w="1456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15.43± 20.95</w:t>
            </w:r>
          </w:p>
        </w:tc>
        <w:tc>
          <w:tcPr>
            <w:tcW w:w="123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2.65</w:t>
            </w:r>
          </w:p>
        </w:tc>
        <w:tc>
          <w:tcPr>
            <w:tcW w:w="1275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0.021*</w:t>
            </w:r>
          </w:p>
        </w:tc>
      </w:tr>
      <w:tr w:rsidR="008D5ECC" w:rsidRPr="00566F53" w:rsidTr="00BA5089">
        <w:tc>
          <w:tcPr>
            <w:tcW w:w="2552" w:type="dxa"/>
            <w:vAlign w:val="center"/>
          </w:tcPr>
          <w:p w:rsidR="008D5ECC" w:rsidRPr="00566F53" w:rsidRDefault="008D5ECC" w:rsidP="000B4DED">
            <w:pPr>
              <w:spacing w:line="312" w:lineRule="auto"/>
              <w:rPr>
                <w:sz w:val="18"/>
                <w:szCs w:val="18"/>
                <w:lang w:val="en-US"/>
              </w:rPr>
            </w:pPr>
            <w:r w:rsidRPr="00566F53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-0.910</w:t>
            </w:r>
          </w:p>
        </w:tc>
        <w:tc>
          <w:tcPr>
            <w:tcW w:w="1417" w:type="dxa"/>
            <w:vAlign w:val="center"/>
          </w:tcPr>
          <w:p w:rsidR="008D5ECC" w:rsidRPr="008D5ECC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-0.370</w:t>
            </w:r>
          </w:p>
        </w:tc>
        <w:tc>
          <w:tcPr>
            <w:tcW w:w="123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D5ECC" w:rsidRPr="00566F53" w:rsidTr="00BA5089">
        <w:tc>
          <w:tcPr>
            <w:tcW w:w="2552" w:type="dxa"/>
            <w:vAlign w:val="center"/>
          </w:tcPr>
          <w:p w:rsidR="008D5ECC" w:rsidRPr="00566F53" w:rsidRDefault="008D5ECC" w:rsidP="000B4DED">
            <w:pPr>
              <w:spacing w:line="312" w:lineRule="auto"/>
              <w:rPr>
                <w:sz w:val="18"/>
                <w:szCs w:val="18"/>
              </w:rPr>
            </w:pPr>
            <w:r w:rsidRPr="00566F53">
              <w:rPr>
                <w:sz w:val="18"/>
                <w:szCs w:val="18"/>
                <w:lang w:val="en-US"/>
              </w:rPr>
              <w:t>P-</w:t>
            </w:r>
            <w:r w:rsidRPr="00566F53">
              <w:rPr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0.374</w:t>
            </w:r>
          </w:p>
        </w:tc>
        <w:tc>
          <w:tcPr>
            <w:tcW w:w="1417" w:type="dxa"/>
            <w:vAlign w:val="center"/>
          </w:tcPr>
          <w:p w:rsidR="008D5ECC" w:rsidRPr="008D5ECC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D5ECC">
              <w:rPr>
                <w:sz w:val="18"/>
                <w:szCs w:val="18"/>
              </w:rPr>
              <w:t>0.718</w:t>
            </w:r>
          </w:p>
        </w:tc>
        <w:tc>
          <w:tcPr>
            <w:tcW w:w="1238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D5ECC" w:rsidRPr="00566F53" w:rsidRDefault="008D5ECC" w:rsidP="000B4DE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D5ECC" w:rsidRPr="00D11FF9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8D5ECC" w:rsidRPr="00D11FF9" w:rsidRDefault="00A63E20" w:rsidP="000B4DED">
            <w:pPr>
              <w:spacing w:line="312" w:lineRule="auto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Внутренняя косая мышца живота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8D5ECC" w:rsidRPr="00D11FF9" w:rsidRDefault="008D5ECC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8D5ECC" w:rsidRPr="00D11FF9" w:rsidRDefault="008D5ECC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8D5ECC" w:rsidRPr="00D11FF9" w:rsidRDefault="008D5ECC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8D5ECC" w:rsidRPr="00D11FF9" w:rsidRDefault="008D5ECC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8D5ECC" w:rsidRPr="00D11FF9" w:rsidRDefault="008D5ECC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A63E20" w:rsidRPr="00D11FF9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Гиротонические упражнения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144.94± 72.96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156.15± 98.40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1.22± 37.25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A63E20" w:rsidRPr="00D11FF9" w:rsidRDefault="00D11FF9" w:rsidP="000B4DED">
            <w:pPr>
              <w:spacing w:line="312" w:lineRule="auto"/>
              <w:jc w:val="both"/>
              <w:rPr>
                <w:sz w:val="18"/>
                <w:szCs w:val="18"/>
                <w:lang w:val="en-US"/>
              </w:rPr>
            </w:pPr>
            <w:r w:rsidRPr="00D11FF9">
              <w:rPr>
                <w:sz w:val="18"/>
                <w:szCs w:val="18"/>
              </w:rPr>
              <w:t>1.09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A63E20" w:rsidRPr="00D11FF9" w:rsidRDefault="00D11FF9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0.299</w:t>
            </w:r>
          </w:p>
        </w:tc>
      </w:tr>
      <w:tr w:rsidR="00A63E20" w:rsidRPr="00D11FF9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Упражнения по стабилизации туловища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142.60± 46.45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160.13± 56.03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17.53± 20.24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A63E20" w:rsidRPr="00D11FF9" w:rsidRDefault="00D11FF9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2.09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A63E20" w:rsidRPr="00D11FF9" w:rsidRDefault="00D11FF9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0.059</w:t>
            </w:r>
          </w:p>
        </w:tc>
      </w:tr>
      <w:tr w:rsidR="00A63E20" w:rsidRPr="00D11FF9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rPr>
                <w:sz w:val="18"/>
                <w:szCs w:val="18"/>
                <w:lang w:val="en-US"/>
              </w:rPr>
            </w:pPr>
            <w:r w:rsidRPr="00D11FF9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0.100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  <w:lang w:val="en-US"/>
              </w:rPr>
            </w:pPr>
            <w:r w:rsidRPr="00D11F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A63E20" w:rsidRPr="00D11FF9" w:rsidRDefault="00D11FF9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0.480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A63E20" w:rsidRPr="00D11FF9" w:rsidTr="00BA5089">
        <w:tc>
          <w:tcPr>
            <w:tcW w:w="2552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  <w:lang w:val="en-US"/>
              </w:rPr>
              <w:t>P-</w:t>
            </w:r>
            <w:r w:rsidRPr="00D11FF9">
              <w:rPr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0.923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63E20" w:rsidRPr="00D11FF9" w:rsidRDefault="00F31CA6" w:rsidP="000B4DED">
            <w:pPr>
              <w:spacing w:line="312" w:lineRule="auto"/>
              <w:jc w:val="both"/>
              <w:rPr>
                <w:sz w:val="18"/>
                <w:szCs w:val="18"/>
                <w:lang w:val="en-US"/>
              </w:rPr>
            </w:pPr>
            <w:r w:rsidRPr="00D11F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56" w:type="dxa"/>
            <w:shd w:val="clear" w:color="auto" w:fill="E2EFD9" w:themeFill="accent6" w:themeFillTint="33"/>
            <w:vAlign w:val="center"/>
          </w:tcPr>
          <w:p w:rsidR="00A63E20" w:rsidRPr="00D11FF9" w:rsidRDefault="00D11FF9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D11FF9">
              <w:rPr>
                <w:sz w:val="18"/>
                <w:szCs w:val="18"/>
              </w:rPr>
              <w:t>0.639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A63E20" w:rsidRPr="00D11FF9" w:rsidRDefault="00A63E20" w:rsidP="000B4DED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846679" w:rsidRDefault="00846679" w:rsidP="00CE0CA2">
      <w:pPr>
        <w:spacing w:after="0"/>
        <w:jc w:val="both"/>
      </w:pPr>
      <w:r w:rsidRPr="00846679">
        <w:t>Значения представлены как среднее значение ± стандартное отклонение.</w:t>
      </w:r>
    </w:p>
    <w:p w:rsidR="00BF16F5" w:rsidRDefault="00846679" w:rsidP="00CE0CA2">
      <w:pPr>
        <w:spacing w:after="0"/>
        <w:jc w:val="both"/>
      </w:pPr>
      <w:r w:rsidRPr="00846679">
        <w:t>* Р &lt;0,05</w:t>
      </w:r>
    </w:p>
    <w:p w:rsidR="00BA5089" w:rsidRDefault="00BA5089">
      <w:r>
        <w:br w:type="page"/>
      </w:r>
    </w:p>
    <w:p w:rsidR="00846679" w:rsidRDefault="00846679" w:rsidP="00CE0CA2">
      <w:pPr>
        <w:spacing w:after="0"/>
        <w:jc w:val="both"/>
      </w:pPr>
      <w:r w:rsidRPr="00BA5089">
        <w:rPr>
          <w:b/>
          <w:color w:val="00B050"/>
        </w:rPr>
        <w:lastRenderedPageBreak/>
        <w:t>Таблица 3.</w:t>
      </w:r>
      <w:r w:rsidRPr="00BA5089">
        <w:rPr>
          <w:color w:val="00B050"/>
        </w:rPr>
        <w:t xml:space="preserve"> </w:t>
      </w:r>
      <w:r w:rsidRPr="00846679">
        <w:t>Сравнение стабильности поясничного отдела для каждого упражнения до и после (единица измерения: сек)</w:t>
      </w:r>
    </w:p>
    <w:tbl>
      <w:tblPr>
        <w:tblStyle w:val="a3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435"/>
        <w:gridCol w:w="1978"/>
        <w:gridCol w:w="998"/>
        <w:gridCol w:w="1272"/>
      </w:tblGrid>
      <w:tr w:rsidR="00370AFB" w:rsidRPr="00370AFB" w:rsidTr="00BA5089">
        <w:tc>
          <w:tcPr>
            <w:tcW w:w="2122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 w:rsidRPr="00370AFB">
              <w:t>Группа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 w:rsidRPr="00370AFB">
              <w:t>До</w:t>
            </w:r>
          </w:p>
        </w:tc>
        <w:tc>
          <w:tcPr>
            <w:tcW w:w="1435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 w:rsidRPr="00370AFB">
              <w:t>После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 w:rsidRPr="00370AFB">
              <w:t>Разность значений</w:t>
            </w:r>
          </w:p>
        </w:tc>
        <w:tc>
          <w:tcPr>
            <w:tcW w:w="998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  <w:rPr>
                <w:lang w:val="en-US"/>
              </w:rPr>
            </w:pPr>
            <w:r w:rsidRPr="00370AFB">
              <w:rPr>
                <w:lang w:val="en-US"/>
              </w:rPr>
              <w:t>Z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 w:rsidRPr="00370AFB">
              <w:rPr>
                <w:lang w:val="en-US"/>
              </w:rPr>
              <w:t>P-</w:t>
            </w:r>
            <w:r w:rsidRPr="00370AFB">
              <w:t>значение</w:t>
            </w:r>
          </w:p>
        </w:tc>
      </w:tr>
      <w:tr w:rsidR="00370AFB" w:rsidRPr="00370AFB" w:rsidTr="00BA5089">
        <w:tc>
          <w:tcPr>
            <w:tcW w:w="2122" w:type="dxa"/>
            <w:vAlign w:val="center"/>
          </w:tcPr>
          <w:p w:rsidR="00370AFB" w:rsidRPr="00370AFB" w:rsidRDefault="00370AFB" w:rsidP="00370AFB">
            <w:r w:rsidRPr="00370AFB">
              <w:t>Гиротонические упражнения</w:t>
            </w:r>
          </w:p>
        </w:tc>
        <w:tc>
          <w:tcPr>
            <w:tcW w:w="1559" w:type="dxa"/>
            <w:vAlign w:val="center"/>
          </w:tcPr>
          <w:p w:rsidR="00370AFB" w:rsidRPr="00370AFB" w:rsidRDefault="00370AFB" w:rsidP="00370AFB">
            <w:pPr>
              <w:jc w:val="center"/>
            </w:pPr>
            <w:r>
              <w:t>17.08± 5.27</w:t>
            </w:r>
          </w:p>
        </w:tc>
        <w:tc>
          <w:tcPr>
            <w:tcW w:w="1435" w:type="dxa"/>
            <w:vAlign w:val="center"/>
          </w:tcPr>
          <w:p w:rsidR="00370AFB" w:rsidRPr="00370AFB" w:rsidRDefault="00370AFB" w:rsidP="00370AFB">
            <w:pPr>
              <w:jc w:val="center"/>
            </w:pPr>
            <w:r>
              <w:t>20.83± 4.53</w:t>
            </w:r>
          </w:p>
        </w:tc>
        <w:tc>
          <w:tcPr>
            <w:tcW w:w="0" w:type="auto"/>
            <w:vAlign w:val="center"/>
          </w:tcPr>
          <w:p w:rsidR="00370AFB" w:rsidRPr="00370AFB" w:rsidRDefault="00370AFB" w:rsidP="00370AFB">
            <w:pPr>
              <w:jc w:val="center"/>
            </w:pPr>
            <w:r>
              <w:t>3.75± 4.44</w:t>
            </w:r>
          </w:p>
        </w:tc>
        <w:tc>
          <w:tcPr>
            <w:tcW w:w="998" w:type="dxa"/>
            <w:vAlign w:val="center"/>
          </w:tcPr>
          <w:p w:rsidR="00370AFB" w:rsidRPr="00370AFB" w:rsidRDefault="00370AFB" w:rsidP="00370AFB">
            <w:pPr>
              <w:jc w:val="center"/>
            </w:pPr>
            <w:r>
              <w:t>-3.04</w:t>
            </w:r>
          </w:p>
        </w:tc>
        <w:tc>
          <w:tcPr>
            <w:tcW w:w="0" w:type="auto"/>
            <w:vAlign w:val="center"/>
          </w:tcPr>
          <w:p w:rsidR="00370AFB" w:rsidRPr="00370AFB" w:rsidRDefault="00370AFB" w:rsidP="00370AFB">
            <w:pPr>
              <w:jc w:val="center"/>
            </w:pPr>
            <w:r>
              <w:t>0.010*</w:t>
            </w:r>
          </w:p>
        </w:tc>
      </w:tr>
      <w:tr w:rsidR="00370AFB" w:rsidRPr="00370AFB" w:rsidTr="00BA5089">
        <w:tc>
          <w:tcPr>
            <w:tcW w:w="2122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r w:rsidRPr="00370AFB">
              <w:t>Упражнения по стабилизации туловища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>
              <w:t>15.57± 8.06</w:t>
            </w:r>
          </w:p>
        </w:tc>
        <w:tc>
          <w:tcPr>
            <w:tcW w:w="1435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>
              <w:t>23.41± 8.75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>
              <w:t>7.85± 7.79</w:t>
            </w:r>
          </w:p>
        </w:tc>
        <w:tc>
          <w:tcPr>
            <w:tcW w:w="998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>
              <w:t>-3.63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center"/>
            </w:pPr>
            <w:r>
              <w:t>0.003*</w:t>
            </w:r>
          </w:p>
        </w:tc>
      </w:tr>
      <w:tr w:rsidR="00370AFB" w:rsidRPr="00370AFB" w:rsidTr="00BA5089">
        <w:tc>
          <w:tcPr>
            <w:tcW w:w="2122" w:type="dxa"/>
            <w:vAlign w:val="center"/>
          </w:tcPr>
          <w:p w:rsidR="00370AFB" w:rsidRPr="00370AFB" w:rsidRDefault="00370AFB" w:rsidP="00370AFB">
            <w:pPr>
              <w:jc w:val="both"/>
            </w:pPr>
            <w:r w:rsidRPr="00370AFB">
              <w:rPr>
                <w:lang w:val="en-US"/>
              </w:rPr>
              <w:t>t</w:t>
            </w:r>
          </w:p>
        </w:tc>
        <w:tc>
          <w:tcPr>
            <w:tcW w:w="1559" w:type="dxa"/>
          </w:tcPr>
          <w:p w:rsidR="00370AFB" w:rsidRPr="00370AFB" w:rsidRDefault="00370AFB" w:rsidP="00370AFB">
            <w:pPr>
              <w:jc w:val="center"/>
            </w:pPr>
            <w:r>
              <w:t>0.570</w:t>
            </w:r>
          </w:p>
        </w:tc>
        <w:tc>
          <w:tcPr>
            <w:tcW w:w="1435" w:type="dxa"/>
          </w:tcPr>
          <w:p w:rsidR="00370AFB" w:rsidRPr="00370AFB" w:rsidRDefault="00370AFB" w:rsidP="00370A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370AFB" w:rsidRPr="00370AFB" w:rsidRDefault="00370AFB" w:rsidP="00370AFB">
            <w:pPr>
              <w:jc w:val="center"/>
            </w:pPr>
            <w:r>
              <w:t>-1.650</w:t>
            </w:r>
          </w:p>
        </w:tc>
        <w:tc>
          <w:tcPr>
            <w:tcW w:w="998" w:type="dxa"/>
          </w:tcPr>
          <w:p w:rsidR="00370AFB" w:rsidRPr="00370AFB" w:rsidRDefault="00370AFB" w:rsidP="00370AFB">
            <w:pPr>
              <w:jc w:val="center"/>
            </w:pPr>
          </w:p>
        </w:tc>
        <w:tc>
          <w:tcPr>
            <w:tcW w:w="0" w:type="auto"/>
          </w:tcPr>
          <w:p w:rsidR="00370AFB" w:rsidRPr="00370AFB" w:rsidRDefault="00370AFB" w:rsidP="00370AFB">
            <w:pPr>
              <w:jc w:val="center"/>
            </w:pPr>
          </w:p>
        </w:tc>
      </w:tr>
      <w:tr w:rsidR="00370AFB" w:rsidRPr="00370AFB" w:rsidTr="00BA5089">
        <w:tc>
          <w:tcPr>
            <w:tcW w:w="2122" w:type="dxa"/>
            <w:shd w:val="clear" w:color="auto" w:fill="E2EFD9" w:themeFill="accent6" w:themeFillTint="33"/>
            <w:vAlign w:val="center"/>
          </w:tcPr>
          <w:p w:rsidR="00370AFB" w:rsidRPr="00370AFB" w:rsidRDefault="00370AFB" w:rsidP="00370AFB">
            <w:pPr>
              <w:jc w:val="both"/>
            </w:pPr>
            <w:r w:rsidRPr="00370AFB">
              <w:rPr>
                <w:lang w:val="en-US"/>
              </w:rPr>
              <w:t>P-</w:t>
            </w:r>
            <w:r w:rsidRPr="00370AFB">
              <w:t>значение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70AFB" w:rsidRPr="00370AFB" w:rsidRDefault="00370AFB" w:rsidP="00370AFB">
            <w:pPr>
              <w:jc w:val="center"/>
            </w:pPr>
            <w:r>
              <w:t>0.576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:rsidR="00370AFB" w:rsidRPr="00370AFB" w:rsidRDefault="00370AFB" w:rsidP="00370A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370AFB" w:rsidRPr="00370AFB" w:rsidRDefault="00370AFB" w:rsidP="00370AFB">
            <w:pPr>
              <w:jc w:val="center"/>
            </w:pPr>
            <w:r>
              <w:t>0.116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370AFB" w:rsidRPr="00370AFB" w:rsidRDefault="00370AFB" w:rsidP="00370AFB">
            <w:pPr>
              <w:jc w:val="center"/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370AFB" w:rsidRPr="00370AFB" w:rsidRDefault="00370AFB" w:rsidP="00370AFB">
            <w:pPr>
              <w:jc w:val="center"/>
            </w:pPr>
          </w:p>
        </w:tc>
      </w:tr>
    </w:tbl>
    <w:p w:rsidR="00370AFB" w:rsidRDefault="00370AFB" w:rsidP="00370AFB">
      <w:pPr>
        <w:spacing w:after="0"/>
        <w:jc w:val="both"/>
      </w:pPr>
      <w:r w:rsidRPr="00846679">
        <w:t>Значения представлены как среднее значение ± стандартное отклонение.</w:t>
      </w:r>
    </w:p>
    <w:p w:rsidR="00370AFB" w:rsidRDefault="00370AFB" w:rsidP="00370AFB">
      <w:pPr>
        <w:spacing w:after="0"/>
        <w:jc w:val="both"/>
      </w:pPr>
      <w:r w:rsidRPr="00846679">
        <w:t>* Р &lt;0,05</w:t>
      </w:r>
    </w:p>
    <w:p w:rsidR="00846679" w:rsidRDefault="00846679" w:rsidP="00CE0CA2">
      <w:pPr>
        <w:spacing w:after="0"/>
        <w:jc w:val="both"/>
      </w:pPr>
    </w:p>
    <w:p w:rsidR="00370AFB" w:rsidRDefault="00370AFB" w:rsidP="00370AFB">
      <w:pPr>
        <w:spacing w:after="0"/>
        <w:jc w:val="both"/>
      </w:pPr>
      <w:r w:rsidRPr="00BA5089">
        <w:rPr>
          <w:b/>
          <w:color w:val="00B050"/>
        </w:rPr>
        <w:t>Таблица 4.</w:t>
      </w:r>
      <w:r w:rsidRPr="00BA5089">
        <w:rPr>
          <w:color w:val="00B050"/>
        </w:rPr>
        <w:t xml:space="preserve"> </w:t>
      </w:r>
      <w:r w:rsidRPr="00370AFB">
        <w:t>Сравнение индекса функциональной инвалидности по каждому упражнению (единица: балл)</w:t>
      </w:r>
    </w:p>
    <w:tbl>
      <w:tblPr>
        <w:tblStyle w:val="a3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435"/>
        <w:gridCol w:w="1978"/>
        <w:gridCol w:w="998"/>
        <w:gridCol w:w="1272"/>
      </w:tblGrid>
      <w:tr w:rsidR="00BA5089" w:rsidRPr="00370AFB" w:rsidTr="00BA5089">
        <w:tc>
          <w:tcPr>
            <w:tcW w:w="2122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 w:rsidRPr="00370AFB">
              <w:t>Группа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 w:rsidRPr="00370AFB">
              <w:t>До</w:t>
            </w:r>
          </w:p>
        </w:tc>
        <w:tc>
          <w:tcPr>
            <w:tcW w:w="1435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 w:rsidRPr="00370AFB">
              <w:t>После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 w:rsidRPr="00370AFB">
              <w:t>Разность значений</w:t>
            </w:r>
          </w:p>
        </w:tc>
        <w:tc>
          <w:tcPr>
            <w:tcW w:w="998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  <w:rPr>
                <w:lang w:val="en-US"/>
              </w:rPr>
            </w:pPr>
            <w:r w:rsidRPr="00370AFB">
              <w:rPr>
                <w:lang w:val="en-US"/>
              </w:rPr>
              <w:t>Z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 w:rsidRPr="00370AFB">
              <w:rPr>
                <w:lang w:val="en-US"/>
              </w:rPr>
              <w:t>P-</w:t>
            </w:r>
            <w:r w:rsidRPr="00370AFB">
              <w:t>значение</w:t>
            </w:r>
          </w:p>
        </w:tc>
      </w:tr>
      <w:tr w:rsidR="00370AFB" w:rsidRPr="00370AFB" w:rsidTr="00BA5089">
        <w:tc>
          <w:tcPr>
            <w:tcW w:w="2122" w:type="dxa"/>
            <w:vAlign w:val="center"/>
          </w:tcPr>
          <w:p w:rsidR="00370AFB" w:rsidRPr="00370AFB" w:rsidRDefault="00370AFB" w:rsidP="00305080">
            <w:r w:rsidRPr="00370AFB">
              <w:t>Гиротонические упражнения</w:t>
            </w:r>
          </w:p>
        </w:tc>
        <w:tc>
          <w:tcPr>
            <w:tcW w:w="1559" w:type="dxa"/>
            <w:vAlign w:val="center"/>
          </w:tcPr>
          <w:p w:rsidR="00370AFB" w:rsidRPr="00370AFB" w:rsidRDefault="00370AFB" w:rsidP="00305080">
            <w:pPr>
              <w:jc w:val="center"/>
            </w:pPr>
            <w:r>
              <w:t>14.87± 6.75</w:t>
            </w:r>
          </w:p>
        </w:tc>
        <w:tc>
          <w:tcPr>
            <w:tcW w:w="1435" w:type="dxa"/>
            <w:vAlign w:val="center"/>
          </w:tcPr>
          <w:p w:rsidR="00370AFB" w:rsidRPr="00370AFB" w:rsidRDefault="00370AFB" w:rsidP="00305080">
            <w:pPr>
              <w:jc w:val="center"/>
            </w:pPr>
            <w:r>
              <w:t>11.36± 5.74</w:t>
            </w:r>
          </w:p>
        </w:tc>
        <w:tc>
          <w:tcPr>
            <w:tcW w:w="0" w:type="auto"/>
            <w:vAlign w:val="center"/>
          </w:tcPr>
          <w:p w:rsidR="00370AFB" w:rsidRPr="00370AFB" w:rsidRDefault="00370AFB" w:rsidP="00305080">
            <w:pPr>
              <w:jc w:val="center"/>
            </w:pPr>
            <w:r>
              <w:t>-0.35± 2.02</w:t>
            </w:r>
          </w:p>
        </w:tc>
        <w:tc>
          <w:tcPr>
            <w:tcW w:w="998" w:type="dxa"/>
            <w:vAlign w:val="center"/>
          </w:tcPr>
          <w:p w:rsidR="00370AFB" w:rsidRPr="00370AFB" w:rsidRDefault="00370AFB" w:rsidP="00305080">
            <w:pPr>
              <w:jc w:val="center"/>
            </w:pPr>
            <w:r>
              <w:t>-3.075</w:t>
            </w:r>
          </w:p>
        </w:tc>
        <w:tc>
          <w:tcPr>
            <w:tcW w:w="0" w:type="auto"/>
            <w:vAlign w:val="center"/>
          </w:tcPr>
          <w:p w:rsidR="00370AFB" w:rsidRPr="00370AFB" w:rsidRDefault="00370AFB" w:rsidP="00305080">
            <w:pPr>
              <w:jc w:val="center"/>
            </w:pPr>
            <w:r>
              <w:t>0.002*</w:t>
            </w:r>
          </w:p>
        </w:tc>
      </w:tr>
      <w:tr w:rsidR="00370AFB" w:rsidRPr="00370AFB" w:rsidTr="00BA5089">
        <w:tc>
          <w:tcPr>
            <w:tcW w:w="2122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r w:rsidRPr="00370AFB">
              <w:t>Упражнения по стабилизации туловища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>
              <w:t>12.81± 5.89</w:t>
            </w:r>
          </w:p>
        </w:tc>
        <w:tc>
          <w:tcPr>
            <w:tcW w:w="1435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>
              <w:t>7.77± 5.59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>
              <w:t>-5.04± 5.45</w:t>
            </w:r>
          </w:p>
        </w:tc>
        <w:tc>
          <w:tcPr>
            <w:tcW w:w="998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>
              <w:t>-3.203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center"/>
            </w:pPr>
            <w:r>
              <w:t>0.001*</w:t>
            </w:r>
          </w:p>
        </w:tc>
      </w:tr>
      <w:tr w:rsidR="00370AFB" w:rsidRPr="00370AFB" w:rsidTr="00BA5089">
        <w:tc>
          <w:tcPr>
            <w:tcW w:w="2122" w:type="dxa"/>
            <w:vAlign w:val="center"/>
          </w:tcPr>
          <w:p w:rsidR="00370AFB" w:rsidRPr="00370AFB" w:rsidRDefault="00370AFB" w:rsidP="003050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559" w:type="dxa"/>
          </w:tcPr>
          <w:p w:rsidR="00370AFB" w:rsidRPr="00370AFB" w:rsidRDefault="00370AFB" w:rsidP="00305080">
            <w:pPr>
              <w:jc w:val="both"/>
            </w:pPr>
            <w:r>
              <w:t>70.500</w:t>
            </w:r>
          </w:p>
        </w:tc>
        <w:tc>
          <w:tcPr>
            <w:tcW w:w="1435" w:type="dxa"/>
          </w:tcPr>
          <w:p w:rsidR="00370AFB" w:rsidRPr="00370AFB" w:rsidRDefault="00370AFB" w:rsidP="003050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370AFB" w:rsidRPr="00370AFB" w:rsidRDefault="00370AFB" w:rsidP="00305080">
            <w:pPr>
              <w:jc w:val="both"/>
            </w:pPr>
            <w:r>
              <w:t>84</w:t>
            </w:r>
          </w:p>
        </w:tc>
        <w:tc>
          <w:tcPr>
            <w:tcW w:w="998" w:type="dxa"/>
          </w:tcPr>
          <w:p w:rsidR="00370AFB" w:rsidRPr="00370AFB" w:rsidRDefault="00370AFB" w:rsidP="00305080">
            <w:pPr>
              <w:jc w:val="both"/>
            </w:pPr>
          </w:p>
        </w:tc>
        <w:tc>
          <w:tcPr>
            <w:tcW w:w="0" w:type="auto"/>
          </w:tcPr>
          <w:p w:rsidR="00370AFB" w:rsidRPr="00370AFB" w:rsidRDefault="00370AFB" w:rsidP="00305080">
            <w:pPr>
              <w:jc w:val="both"/>
            </w:pPr>
          </w:p>
        </w:tc>
      </w:tr>
      <w:tr w:rsidR="00370AFB" w:rsidRPr="00370AFB" w:rsidTr="00BA5089">
        <w:tc>
          <w:tcPr>
            <w:tcW w:w="2122" w:type="dxa"/>
            <w:shd w:val="clear" w:color="auto" w:fill="E2EFD9" w:themeFill="accent6" w:themeFillTint="33"/>
            <w:vAlign w:val="center"/>
          </w:tcPr>
          <w:p w:rsidR="00370AFB" w:rsidRPr="00370AFB" w:rsidRDefault="00370AFB" w:rsidP="00305080">
            <w:pPr>
              <w:jc w:val="both"/>
            </w:pPr>
            <w:r w:rsidRPr="00370AFB">
              <w:rPr>
                <w:lang w:val="en-US"/>
              </w:rPr>
              <w:t>P-</w:t>
            </w:r>
            <w:r w:rsidRPr="00370AFB">
              <w:t>значение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70AFB" w:rsidRPr="00370AFB" w:rsidRDefault="00370AFB" w:rsidP="00305080">
            <w:pPr>
              <w:jc w:val="both"/>
            </w:pPr>
            <w:r>
              <w:t>0.479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:rsidR="00370AFB" w:rsidRPr="00370AFB" w:rsidRDefault="00370AFB" w:rsidP="003050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370AFB" w:rsidRPr="00370AFB" w:rsidRDefault="00370AFB" w:rsidP="00305080">
            <w:pPr>
              <w:jc w:val="both"/>
            </w:pPr>
            <w:r>
              <w:t>1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370AFB" w:rsidRPr="00370AFB" w:rsidRDefault="00370AFB" w:rsidP="00305080">
            <w:pPr>
              <w:jc w:val="both"/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370AFB" w:rsidRPr="00370AFB" w:rsidRDefault="00370AFB" w:rsidP="00305080">
            <w:pPr>
              <w:jc w:val="both"/>
            </w:pPr>
          </w:p>
        </w:tc>
      </w:tr>
    </w:tbl>
    <w:p w:rsidR="00370AFB" w:rsidRDefault="00370AFB" w:rsidP="00370AFB">
      <w:pPr>
        <w:spacing w:after="0"/>
        <w:jc w:val="both"/>
      </w:pPr>
      <w:r w:rsidRPr="00846679">
        <w:t>Значения представлены как среднее значение ± стандартное отклонение.</w:t>
      </w:r>
    </w:p>
    <w:p w:rsidR="00370AFB" w:rsidRDefault="00370AFB" w:rsidP="00370AFB">
      <w:pPr>
        <w:spacing w:after="0"/>
        <w:jc w:val="both"/>
      </w:pPr>
      <w:r w:rsidRPr="00846679">
        <w:t>* Р &lt;0,05</w:t>
      </w:r>
    </w:p>
    <w:p w:rsidR="00370AFB" w:rsidRDefault="00370AFB" w:rsidP="00CE0CA2">
      <w:pPr>
        <w:spacing w:after="0"/>
        <w:jc w:val="both"/>
      </w:pPr>
    </w:p>
    <w:p w:rsidR="007D28AC" w:rsidRDefault="007D28AC" w:rsidP="00CE0CA2">
      <w:pPr>
        <w:spacing w:after="0"/>
        <w:jc w:val="both"/>
      </w:pPr>
      <w:r w:rsidRPr="007D28AC">
        <w:t xml:space="preserve">Были рассчитаны средние и стандартные отклонения общих характеристик и переменных у испытуемых и проведен тест Шапиро-Уилкса на нормальность. Разница в функциональной инвалидности до и после в каждой группе тренировок определялась U-критерием Манна – Уитни. Разница между группами упражнений заключалась в критерии </w:t>
      </w:r>
      <w:proofErr w:type="spellStart"/>
      <w:r w:rsidRPr="007D28AC">
        <w:t>Уилкоксона</w:t>
      </w:r>
      <w:proofErr w:type="spellEnd"/>
      <w:r w:rsidRPr="007D28AC">
        <w:t>. Разница в мышечной активности и стабильности поясничного отдела до и после для каждой группы упражнений была парным t-тестом. Разница между группами упражнений была независимым t-критерием. Уровень статистической значимости был установлен на уровне P 0,05.</w:t>
      </w:r>
    </w:p>
    <w:p w:rsidR="008B12B4" w:rsidRDefault="008B12B4" w:rsidP="00CE0CA2">
      <w:pPr>
        <w:spacing w:after="0"/>
        <w:jc w:val="both"/>
      </w:pPr>
    </w:p>
    <w:p w:rsidR="008B12B4" w:rsidRPr="00BA5089" w:rsidRDefault="008B12B4" w:rsidP="008B12B4">
      <w:pPr>
        <w:spacing w:after="0"/>
        <w:jc w:val="both"/>
        <w:rPr>
          <w:b/>
          <w:color w:val="7030A0"/>
        </w:rPr>
      </w:pPr>
      <w:r w:rsidRPr="00BA5089">
        <w:rPr>
          <w:b/>
          <w:color w:val="7030A0"/>
        </w:rPr>
        <w:t>ПОЛУЧЕННЫЕ РЕЗУЛЬТАТЫ</w:t>
      </w:r>
    </w:p>
    <w:p w:rsidR="008B12B4" w:rsidRDefault="008B12B4" w:rsidP="008B12B4">
      <w:pPr>
        <w:spacing w:after="0"/>
        <w:jc w:val="both"/>
      </w:pPr>
      <w:r>
        <w:t>Группа участников, выполняющая гиротонические упражнения, показала значительное увеличение активность мышц ES и EO до и после упражнения (P &lt;0,05) (таблица 2). Группа участников, выполняющая упражнения по стабилизации туловища, продемонстрировала значительное повышение активности мышц ES, RA и EO перед и после тренировки (P &lt;0,05) (таблица 2). Обе группы показали значительное улучшение стабильности поясницы (Таблица 3) и KODI (P &lt;0,05) (таблица 4). Никаких существенных отличий мышечной активности, стабильности поясницы или KODI не были отмечены между двумя группами (P &lt;0,05).</w:t>
      </w:r>
    </w:p>
    <w:p w:rsidR="00F84D47" w:rsidRDefault="00F84D47" w:rsidP="008B12B4">
      <w:pPr>
        <w:spacing w:after="0"/>
        <w:jc w:val="both"/>
      </w:pPr>
    </w:p>
    <w:p w:rsidR="00F84D47" w:rsidRPr="00BA5089" w:rsidRDefault="00F84D47" w:rsidP="00F84D47">
      <w:pPr>
        <w:spacing w:after="0"/>
        <w:jc w:val="both"/>
        <w:rPr>
          <w:b/>
          <w:color w:val="7030A0"/>
        </w:rPr>
      </w:pPr>
      <w:r w:rsidRPr="00BA5089">
        <w:rPr>
          <w:b/>
          <w:color w:val="7030A0"/>
        </w:rPr>
        <w:t>ОБСУЖДЕНИЕ</w:t>
      </w:r>
    </w:p>
    <w:p w:rsidR="00F84D47" w:rsidRDefault="00F84D47" w:rsidP="00F84D47">
      <w:pPr>
        <w:spacing w:after="0"/>
        <w:jc w:val="both"/>
      </w:pPr>
      <w:r>
        <w:t>Мышцы ES, RA и EO, которые являются поверхностными мышцами поясницы, играющими роль в поддержке и стабилизации поясничных позвонков и участвуют в стабилизации позвоночника за счет концентрического сокращения во время быстрого движения или при приложении нагрузки на позвоночник (</w:t>
      </w:r>
      <w:proofErr w:type="spellStart"/>
      <w:r>
        <w:t>McGill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2003). Мышца EO также помогает поддерживать нормальное положение позвоночника за счет предотвращения вращения поясничного отдела (</w:t>
      </w:r>
      <w:proofErr w:type="spellStart"/>
      <w:r>
        <w:t>Souza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al.,2001).</w:t>
      </w:r>
      <w:r w:rsidR="002A3D06">
        <w:t xml:space="preserve"> </w:t>
      </w:r>
      <w:r w:rsidR="002A3D06" w:rsidRPr="002A3D06">
        <w:t>Гиротонические упражнения основаны на движении вперёд, назад, вбок, по спирали по кругу. Считается, ч</w:t>
      </w:r>
      <w:r w:rsidR="002A3D06">
        <w:t>то так называемые движения "арка</w:t>
      </w:r>
      <w:r w:rsidR="002A3D06" w:rsidRPr="002A3D06">
        <w:t xml:space="preserve">" и "изгиб", в которых испытуемый рисует большой </w:t>
      </w:r>
      <w:r w:rsidR="002A3D06" w:rsidRPr="002A3D06">
        <w:lastRenderedPageBreak/>
        <w:t xml:space="preserve">круг, </w:t>
      </w:r>
      <w:proofErr w:type="spellStart"/>
      <w:r w:rsidR="002A3D06" w:rsidRPr="002A3D06">
        <w:t>задействуя</w:t>
      </w:r>
      <w:proofErr w:type="spellEnd"/>
      <w:r w:rsidR="002A3D06" w:rsidRPr="002A3D06">
        <w:t xml:space="preserve"> позвоночник, создают связь между мышцами ES и EO.</w:t>
      </w:r>
      <w:r w:rsidR="002A3D06">
        <w:t xml:space="preserve"> </w:t>
      </w:r>
      <w:r w:rsidR="002A3D06" w:rsidRPr="002A3D06">
        <w:t>Дви</w:t>
      </w:r>
      <w:r w:rsidR="00026FD1">
        <w:t>жения "арка" и "изгиб" использую</w:t>
      </w:r>
      <w:r w:rsidR="002A3D06" w:rsidRPr="002A3D06">
        <w:t>тся во всех упражнениях, которые задействуют рукоятку и шкив, а также в упражнения</w:t>
      </w:r>
      <w:r w:rsidR="00026FD1">
        <w:t>х</w:t>
      </w:r>
      <w:r w:rsidR="002A3D06" w:rsidRPr="002A3D06">
        <w:t xml:space="preserve"> на верхнюю часть тела и упражнениях на брюшной пресс. Упражнения по стабилизации туловища также помогают поддерживать нейтральное положение позвоночника. Таким образом, считается, что и гиротонические упражнения и упражнения по стабилизации туловища увеличивают активность мышц, которые играют роль в поддержке и стабилизации поясничных позвонков.</w:t>
      </w:r>
      <w:r w:rsidR="002A3D06">
        <w:t xml:space="preserve"> </w:t>
      </w:r>
      <w:r w:rsidR="002A3D06" w:rsidRPr="002A3D06">
        <w:t xml:space="preserve">Обе группы показали значительное изменение в лучшую сторону в отношении функциональной инвалидности до и после упражнений. Существенная разница между группами при этом не была выявлена. </w:t>
      </w:r>
      <w:proofErr w:type="spellStart"/>
      <w:r w:rsidR="002A3D06" w:rsidRPr="002A3D06">
        <w:t>Hides</w:t>
      </w:r>
      <w:proofErr w:type="spellEnd"/>
      <w:r w:rsidR="002A3D06" w:rsidRPr="002A3D06">
        <w:t xml:space="preserve"> </w:t>
      </w:r>
      <w:proofErr w:type="spellStart"/>
      <w:r w:rsidR="002A3D06" w:rsidRPr="002A3D06">
        <w:t>et</w:t>
      </w:r>
      <w:proofErr w:type="spellEnd"/>
      <w:r w:rsidR="002A3D06" w:rsidRPr="002A3D06">
        <w:t xml:space="preserve"> </w:t>
      </w:r>
      <w:proofErr w:type="spellStart"/>
      <w:r w:rsidR="002A3D06" w:rsidRPr="002A3D06">
        <w:t>al</w:t>
      </w:r>
      <w:proofErr w:type="spellEnd"/>
      <w:r w:rsidR="002A3D06" w:rsidRPr="002A3D06">
        <w:t xml:space="preserve">. (2001) и </w:t>
      </w:r>
      <w:proofErr w:type="spellStart"/>
      <w:r w:rsidR="002A3D06" w:rsidRPr="002A3D06">
        <w:t>Stuge</w:t>
      </w:r>
      <w:proofErr w:type="spellEnd"/>
      <w:r w:rsidR="002A3D06" w:rsidRPr="002A3D06">
        <w:t xml:space="preserve"> </w:t>
      </w:r>
      <w:proofErr w:type="spellStart"/>
      <w:r w:rsidR="002A3D06" w:rsidRPr="002A3D06">
        <w:t>et</w:t>
      </w:r>
      <w:proofErr w:type="spellEnd"/>
      <w:r w:rsidR="002A3D06" w:rsidRPr="002A3D06">
        <w:t xml:space="preserve"> </w:t>
      </w:r>
      <w:proofErr w:type="spellStart"/>
      <w:r w:rsidR="002A3D06" w:rsidRPr="002A3D06">
        <w:t>al</w:t>
      </w:r>
      <w:proofErr w:type="spellEnd"/>
      <w:r w:rsidR="002A3D06" w:rsidRPr="002A3D06">
        <w:t>.</w:t>
      </w:r>
      <w:r w:rsidR="00026FD1">
        <w:t xml:space="preserve"> </w:t>
      </w:r>
      <w:r w:rsidR="002A3D06" w:rsidRPr="002A3D06">
        <w:t xml:space="preserve">(2004) сообщили, что мышечный дисбаланс, который был причиной боли в спине, уменьшился с помощью упражнений, и мышцы </w:t>
      </w:r>
      <w:r w:rsidR="00BF119F">
        <w:t>стали действовать</w:t>
      </w:r>
      <w:r w:rsidR="002A3D06" w:rsidRPr="002A3D06">
        <w:t xml:space="preserve"> как корсеты для уменьшения болей в спине и улучшения функциональности. Следовательно, гиротонические упражнения и упражнения по стабилизации туловища оказывают значительное влияние на функциональные способности.</w:t>
      </w:r>
    </w:p>
    <w:p w:rsidR="00BF119F" w:rsidRDefault="00BF119F" w:rsidP="00F84D47">
      <w:pPr>
        <w:spacing w:after="0"/>
        <w:jc w:val="both"/>
      </w:pPr>
      <w:r w:rsidRPr="00BF119F">
        <w:t>Стабильность - это способность поддерживать определенное состояние даже при наличии внешнего раздражителя. Возрастание изменений в устойчивости поясницы указывают на то, что позвоночник может сохранять нейтральну</w:t>
      </w:r>
      <w:r w:rsidR="00026FD1">
        <w:t>ю осанку, несмотря на стимуляцию</w:t>
      </w:r>
      <w:r w:rsidRPr="00BF119F">
        <w:t xml:space="preserve"> поясничного отдела (</w:t>
      </w:r>
      <w:proofErr w:type="spellStart"/>
      <w:r w:rsidRPr="00BF119F">
        <w:t>Granata</w:t>
      </w:r>
      <w:proofErr w:type="spellEnd"/>
      <w:r w:rsidRPr="00BF119F">
        <w:t xml:space="preserve"> </w:t>
      </w:r>
      <w:proofErr w:type="spellStart"/>
      <w:r w:rsidRPr="00BF119F">
        <w:t>et</w:t>
      </w:r>
      <w:proofErr w:type="spellEnd"/>
      <w:r w:rsidR="00026FD1">
        <w:t xml:space="preserve"> </w:t>
      </w:r>
      <w:proofErr w:type="spellStart"/>
      <w:r w:rsidR="00026FD1">
        <w:t>al</w:t>
      </w:r>
      <w:proofErr w:type="spellEnd"/>
      <w:r w:rsidR="00026FD1">
        <w:t>., 2005). В этом исследовании</w:t>
      </w:r>
      <w:bookmarkStart w:id="0" w:name="_GoBack"/>
      <w:bookmarkEnd w:id="0"/>
      <w:r w:rsidRPr="00BF119F">
        <w:t>, результаты выявили возрастание активности поясничных мышц и возрастание времени удержания наклона, что необходимо для поддержания стабильности поясничного отдела. Это говорит о том, что и гиротонические упражнения и упражнения по стабилизации туловища увеличивают стабильность поясницы.</w:t>
      </w:r>
    </w:p>
    <w:p w:rsidR="00BF119F" w:rsidRDefault="00BF119F" w:rsidP="00F84D47">
      <w:pPr>
        <w:spacing w:after="0"/>
        <w:jc w:val="both"/>
      </w:pPr>
      <w:r w:rsidRPr="00BF119F">
        <w:t xml:space="preserve">В процессе гиротонических упражнений выполняются движения вперед, назад, вправо и влево, а также по спирали (основные движения позвоночника). Это похоже на функциональные движения в повседневной жизни. Упражнения по стабилизации туловища основаны на непроизвольной мобилизации стабилизирующих мышц, которые мобилизуются только во время функциональных движений. Таким образом, эти упражнения эффективны для улучшения функциональных движений. </w:t>
      </w:r>
      <w:proofErr w:type="spellStart"/>
      <w:r w:rsidRPr="00BF119F">
        <w:t>Rasmussen-Barr</w:t>
      </w:r>
      <w:proofErr w:type="spellEnd"/>
      <w:r w:rsidRPr="00BF119F">
        <w:t xml:space="preserve"> </w:t>
      </w:r>
      <w:proofErr w:type="spellStart"/>
      <w:r w:rsidRPr="00BF119F">
        <w:t>et</w:t>
      </w:r>
      <w:proofErr w:type="spellEnd"/>
      <w:r w:rsidRPr="00BF119F">
        <w:t xml:space="preserve"> </w:t>
      </w:r>
      <w:proofErr w:type="spellStart"/>
      <w:r w:rsidRPr="00BF119F">
        <w:t>al</w:t>
      </w:r>
      <w:proofErr w:type="spellEnd"/>
      <w:r w:rsidRPr="00BF119F">
        <w:t>. (2003) сообщили, что интенсивность боли в пояснице у пациентов, которые выполняли упражнения по стабилизации, была меньше, чем у пациентов, которым выполняли только манипуляции на позвоночнике.</w:t>
      </w:r>
    </w:p>
    <w:p w:rsidR="00636EF5" w:rsidRDefault="00636EF5" w:rsidP="00F84D47">
      <w:pPr>
        <w:spacing w:after="0"/>
        <w:jc w:val="both"/>
      </w:pPr>
      <w:r w:rsidRPr="00636EF5">
        <w:t>Так же это исследование показало, что и гиротонические упражнения, и упражнения по стабилизации туловища улучшили стабильность позвоночника, мышечную активность, стабильность поясницы и функциональные возможности. Существенные различия между результатами двух групп упражнений не были обнаружены.</w:t>
      </w:r>
    </w:p>
    <w:p w:rsidR="00636EF5" w:rsidRDefault="00636EF5" w:rsidP="00F84D47">
      <w:pPr>
        <w:spacing w:after="0"/>
        <w:jc w:val="both"/>
      </w:pPr>
      <w:r w:rsidRPr="00636EF5">
        <w:t xml:space="preserve">У данного исследования </w:t>
      </w:r>
      <w:r>
        <w:t>есть</w:t>
      </w:r>
      <w:r w:rsidRPr="00636EF5">
        <w:t xml:space="preserve"> несколько ограничений. Его результаты сложно обобщить из-за небольшого количества испытуемых. К тому же, в этом исследовании был относительно короткий период вмешательства, а именно 4 недели. Хотя 4-х недельный период был установлен на основе предыдущего исследования, в результате которого было достигнуто значительное уменьшение боли в пояснице, большинство связанных исследований проводились в течение 6–12 недель </w:t>
      </w:r>
      <w:r w:rsidR="000E230A" w:rsidRPr="00636EF5">
        <w:t>для подтверждения</w:t>
      </w:r>
      <w:r w:rsidRPr="00636EF5">
        <w:t xml:space="preserve"> изменений. Таким образом, 4-х недельного периода исследования может быть недостаточно для ожидания постоянного изменения. При последующих исследованиях будет задействовано больше участников, срок исследования также будет увеличен. Это исследование говорит о том, что гиротонические упражнения, как один из многих методов стабилизации позвоночника, могут быть полезны для увеличения стабильности позвоночника у пациентов с хронической болью в пояснице.</w:t>
      </w:r>
    </w:p>
    <w:p w:rsidR="00364958" w:rsidRDefault="00364958" w:rsidP="00F84D47">
      <w:pPr>
        <w:spacing w:after="0"/>
        <w:jc w:val="both"/>
      </w:pPr>
    </w:p>
    <w:p w:rsidR="00364958" w:rsidRPr="00BA5089" w:rsidRDefault="00364958" w:rsidP="00364958">
      <w:pPr>
        <w:spacing w:after="0"/>
        <w:jc w:val="both"/>
        <w:rPr>
          <w:b/>
          <w:color w:val="7030A0"/>
        </w:rPr>
      </w:pPr>
      <w:r w:rsidRPr="00BA5089">
        <w:rPr>
          <w:b/>
          <w:color w:val="7030A0"/>
        </w:rPr>
        <w:t>КОНФЛИКТ ИНТЕРЕСОВ</w:t>
      </w:r>
    </w:p>
    <w:p w:rsidR="00364958" w:rsidRPr="00186563" w:rsidRDefault="00364958" w:rsidP="00364958">
      <w:pPr>
        <w:spacing w:after="0"/>
        <w:jc w:val="both"/>
      </w:pPr>
      <w:r>
        <w:t>О потенциальном конфликте интересов, относящемся к этой статье, не сообщалось.</w:t>
      </w:r>
    </w:p>
    <w:sectPr w:rsidR="00364958" w:rsidRPr="0018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7B"/>
    <w:rsid w:val="00026FD1"/>
    <w:rsid w:val="00056698"/>
    <w:rsid w:val="000566AD"/>
    <w:rsid w:val="000B4DED"/>
    <w:rsid w:val="000E230A"/>
    <w:rsid w:val="00186563"/>
    <w:rsid w:val="002A3D06"/>
    <w:rsid w:val="00323F25"/>
    <w:rsid w:val="00364958"/>
    <w:rsid w:val="00370AFB"/>
    <w:rsid w:val="003C6628"/>
    <w:rsid w:val="00406D02"/>
    <w:rsid w:val="00413495"/>
    <w:rsid w:val="0054116E"/>
    <w:rsid w:val="00566F53"/>
    <w:rsid w:val="005C45CD"/>
    <w:rsid w:val="005D0EB5"/>
    <w:rsid w:val="005D5849"/>
    <w:rsid w:val="0062362D"/>
    <w:rsid w:val="00636EF5"/>
    <w:rsid w:val="007D28AC"/>
    <w:rsid w:val="007E51E4"/>
    <w:rsid w:val="008143B5"/>
    <w:rsid w:val="00837844"/>
    <w:rsid w:val="00846679"/>
    <w:rsid w:val="008B12B4"/>
    <w:rsid w:val="008D5ECC"/>
    <w:rsid w:val="008F5CF0"/>
    <w:rsid w:val="009B2929"/>
    <w:rsid w:val="00A63E20"/>
    <w:rsid w:val="00AD7279"/>
    <w:rsid w:val="00BA5089"/>
    <w:rsid w:val="00BD2404"/>
    <w:rsid w:val="00BF119F"/>
    <w:rsid w:val="00BF16F5"/>
    <w:rsid w:val="00C35F23"/>
    <w:rsid w:val="00C922D7"/>
    <w:rsid w:val="00C93E68"/>
    <w:rsid w:val="00CE0CA2"/>
    <w:rsid w:val="00D11FF9"/>
    <w:rsid w:val="00EC5160"/>
    <w:rsid w:val="00ED0D76"/>
    <w:rsid w:val="00ED5482"/>
    <w:rsid w:val="00F0013A"/>
    <w:rsid w:val="00F31CA6"/>
    <w:rsid w:val="00F46D6A"/>
    <w:rsid w:val="00F84D47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E4FF-4E73-4348-8244-2114E8FC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Dmitry Klein</cp:lastModifiedBy>
  <cp:revision>43</cp:revision>
  <dcterms:created xsi:type="dcterms:W3CDTF">2020-10-28T21:02:00Z</dcterms:created>
  <dcterms:modified xsi:type="dcterms:W3CDTF">2020-11-01T19:57:00Z</dcterms:modified>
</cp:coreProperties>
</file>