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6F" w:rsidRDefault="00DF1C23" w:rsidP="000378D5">
      <w:pPr>
        <w:spacing w:after="0"/>
        <w:contextualSpacing/>
        <w:jc w:val="both"/>
        <w:rPr>
          <w:b/>
        </w:rPr>
      </w:pPr>
      <w:r w:rsidRPr="00DF1C23">
        <w:rPr>
          <w:b/>
        </w:rPr>
        <w:t>Функциональные и морфологические изменения шейных межпозвоночный диск</w:t>
      </w:r>
      <w:r w:rsidR="00736A92">
        <w:rPr>
          <w:b/>
        </w:rPr>
        <w:t>ов</w:t>
      </w:r>
      <w:r w:rsidRPr="00DF1C23">
        <w:rPr>
          <w:b/>
        </w:rPr>
        <w:t xml:space="preserve"> после применения вытяж</w:t>
      </w:r>
      <w:r w:rsidR="00272D11">
        <w:rPr>
          <w:b/>
        </w:rPr>
        <w:t>ения (</w:t>
      </w:r>
      <w:proofErr w:type="spellStart"/>
      <w:r w:rsidR="00272D11">
        <w:rPr>
          <w:b/>
        </w:rPr>
        <w:t>тракции</w:t>
      </w:r>
      <w:proofErr w:type="spellEnd"/>
      <w:r w:rsidR="00272D11">
        <w:rPr>
          <w:b/>
        </w:rPr>
        <w:t xml:space="preserve">) с контролем </w:t>
      </w:r>
      <w:proofErr w:type="spellStart"/>
      <w:r w:rsidR="00272D11">
        <w:rPr>
          <w:b/>
        </w:rPr>
        <w:t>лордот</w:t>
      </w:r>
      <w:r w:rsidR="0036417B">
        <w:rPr>
          <w:b/>
        </w:rPr>
        <w:t>ического</w:t>
      </w:r>
      <w:proofErr w:type="spellEnd"/>
      <w:r w:rsidR="0036417B">
        <w:rPr>
          <w:b/>
        </w:rPr>
        <w:t xml:space="preserve"> изгиба</w:t>
      </w:r>
      <w:r w:rsidRPr="00DF1C23">
        <w:rPr>
          <w:b/>
        </w:rPr>
        <w:t xml:space="preserve">: двойное слепое </w:t>
      </w:r>
      <w:proofErr w:type="spellStart"/>
      <w:r w:rsidRPr="00DF1C23">
        <w:rPr>
          <w:b/>
        </w:rPr>
        <w:t>рандомизированное</w:t>
      </w:r>
      <w:proofErr w:type="spellEnd"/>
      <w:r w:rsidRPr="00DF1C23">
        <w:rPr>
          <w:b/>
        </w:rPr>
        <w:t xml:space="preserve"> контролируемое исследование</w:t>
      </w:r>
    </w:p>
    <w:p w:rsidR="00DF1C23" w:rsidRPr="00DF1C23" w:rsidRDefault="00DF1C23" w:rsidP="00DF1C23">
      <w:pPr>
        <w:spacing w:after="0"/>
        <w:contextualSpacing/>
        <w:jc w:val="both"/>
        <w:rPr>
          <w:lang w:val="en-US"/>
        </w:rPr>
      </w:pPr>
      <w:r w:rsidRPr="00DF1C23">
        <w:rPr>
          <w:lang w:val="en-US"/>
        </w:rPr>
        <w:t>Chang-</w:t>
      </w:r>
      <w:proofErr w:type="spellStart"/>
      <w:r w:rsidRPr="00DF1C23">
        <w:rPr>
          <w:lang w:val="en-US"/>
        </w:rPr>
        <w:t>Hyung</w:t>
      </w:r>
      <w:proofErr w:type="spellEnd"/>
      <w:r w:rsidRPr="00DF1C23">
        <w:rPr>
          <w:lang w:val="en-US"/>
        </w:rPr>
        <w:t xml:space="preserve"> Lee </w:t>
      </w:r>
      <w:r w:rsidRPr="00DF1C23">
        <w:rPr>
          <w:vertAlign w:val="superscript"/>
          <w:lang w:val="en-US"/>
        </w:rPr>
        <w:t>1</w:t>
      </w:r>
      <w:r w:rsidRPr="00DF1C23">
        <w:rPr>
          <w:lang w:val="en-US"/>
        </w:rPr>
        <w:t xml:space="preserve">, Sung </w:t>
      </w:r>
      <w:proofErr w:type="spellStart"/>
      <w:r w:rsidRPr="00DF1C23">
        <w:rPr>
          <w:lang w:val="en-US"/>
        </w:rPr>
        <w:t>Jin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Heo</w:t>
      </w:r>
      <w:proofErr w:type="spellEnd"/>
      <w:r w:rsidRPr="00DF1C23">
        <w:rPr>
          <w:lang w:val="en-US"/>
        </w:rPr>
        <w:t xml:space="preserve"> </w:t>
      </w:r>
      <w:r w:rsidRPr="00E30593">
        <w:rPr>
          <w:vertAlign w:val="superscript"/>
          <w:lang w:val="en-US"/>
        </w:rPr>
        <w:t>2</w:t>
      </w:r>
      <w:r w:rsidRPr="00DF1C23">
        <w:rPr>
          <w:lang w:val="en-US"/>
        </w:rPr>
        <w:t xml:space="preserve">, So Hyun Park </w:t>
      </w:r>
      <w:r w:rsidRPr="00E30593">
        <w:rPr>
          <w:vertAlign w:val="superscript"/>
          <w:lang w:val="en-US"/>
        </w:rPr>
        <w:t>3</w:t>
      </w:r>
      <w:r w:rsidRPr="00DF1C23">
        <w:rPr>
          <w:lang w:val="en-US"/>
        </w:rPr>
        <w:t xml:space="preserve">, </w:t>
      </w:r>
      <w:proofErr w:type="spellStart"/>
      <w:r w:rsidRPr="00DF1C23">
        <w:rPr>
          <w:lang w:val="en-US"/>
        </w:rPr>
        <w:t>Hee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Seok</w:t>
      </w:r>
      <w:proofErr w:type="spellEnd"/>
      <w:r w:rsidRPr="00DF1C23">
        <w:rPr>
          <w:lang w:val="en-US"/>
        </w:rPr>
        <w:t xml:space="preserve"> </w:t>
      </w:r>
      <w:proofErr w:type="spellStart"/>
      <w:r w:rsidRPr="00DF1C23">
        <w:rPr>
          <w:lang w:val="en-US"/>
        </w:rPr>
        <w:t>Jeong</w:t>
      </w:r>
      <w:proofErr w:type="spellEnd"/>
      <w:r w:rsidRPr="00DF1C23">
        <w:rPr>
          <w:lang w:val="en-US"/>
        </w:rPr>
        <w:t xml:space="preserve"> </w:t>
      </w:r>
      <w:r w:rsidRPr="00E30593">
        <w:rPr>
          <w:vertAlign w:val="superscript"/>
          <w:lang w:val="en-US"/>
        </w:rPr>
        <w:t>4</w:t>
      </w:r>
      <w:r w:rsidRPr="00DF1C23">
        <w:rPr>
          <w:lang w:val="en-US"/>
        </w:rPr>
        <w:t xml:space="preserve"> and Soo-</w:t>
      </w:r>
      <w:proofErr w:type="spellStart"/>
      <w:r w:rsidRPr="00DF1C23">
        <w:rPr>
          <w:lang w:val="en-US"/>
        </w:rPr>
        <w:t>Yeon</w:t>
      </w:r>
      <w:proofErr w:type="spellEnd"/>
      <w:r w:rsidRPr="00DF1C23">
        <w:rPr>
          <w:lang w:val="en-US"/>
        </w:rPr>
        <w:t xml:space="preserve"> Kim </w:t>
      </w:r>
      <w:r w:rsidRPr="00E30593">
        <w:rPr>
          <w:vertAlign w:val="superscript"/>
          <w:lang w:val="en-US"/>
        </w:rPr>
        <w:t>1</w:t>
      </w:r>
      <w:r w:rsidRPr="00DF1C23">
        <w:rPr>
          <w:lang w:val="en-US"/>
        </w:rPr>
        <w:t>,*</w:t>
      </w:r>
    </w:p>
    <w:p w:rsidR="00DF1C23" w:rsidRPr="00DF1C23" w:rsidRDefault="00DF1C23" w:rsidP="00DF1C23">
      <w:pPr>
        <w:spacing w:after="0"/>
        <w:contextualSpacing/>
        <w:jc w:val="both"/>
      </w:pPr>
      <w:r w:rsidRPr="00E30593">
        <w:rPr>
          <w:vertAlign w:val="superscript"/>
        </w:rPr>
        <w:t>1</w:t>
      </w:r>
      <w:r w:rsidRPr="00DF1C23">
        <w:t xml:space="preserve"> Реабилитационная медицина, Школа медицины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 и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aarondoctor@gmail.com</w:t>
      </w:r>
    </w:p>
    <w:p w:rsidR="00DF1C23" w:rsidRPr="00DF1C23" w:rsidRDefault="00DF1C23" w:rsidP="00DF1C23">
      <w:pPr>
        <w:spacing w:after="0"/>
        <w:contextualSpacing/>
        <w:jc w:val="both"/>
      </w:pPr>
      <w:r w:rsidRPr="00E30593">
        <w:rPr>
          <w:vertAlign w:val="superscript"/>
        </w:rPr>
        <w:t>2</w:t>
      </w:r>
      <w:r w:rsidRPr="00DF1C23">
        <w:t xml:space="preserve">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whitegusdl@hanmail.net</w:t>
      </w:r>
    </w:p>
    <w:p w:rsidR="00DF1C23" w:rsidRPr="00DF1C23" w:rsidRDefault="00DF1C23" w:rsidP="00DF1C23">
      <w:pPr>
        <w:spacing w:after="0"/>
        <w:contextualSpacing/>
        <w:jc w:val="both"/>
      </w:pPr>
      <w:r w:rsidRPr="00E30593">
        <w:rPr>
          <w:vertAlign w:val="superscript"/>
        </w:rPr>
        <w:t>3</w:t>
      </w:r>
      <w:r w:rsidRPr="00DF1C23">
        <w:t xml:space="preserve"> Кафедра физиотерапии, Универс</w:t>
      </w:r>
      <w:r w:rsidR="000378D5">
        <w:t xml:space="preserve">итета </w:t>
      </w:r>
      <w:proofErr w:type="spellStart"/>
      <w:r w:rsidR="000378D5">
        <w:t>Ян</w:t>
      </w:r>
      <w:r w:rsidRPr="00DF1C23">
        <w:t>сан</w:t>
      </w:r>
      <w:proofErr w:type="spellEnd"/>
      <w:r w:rsidRPr="00DF1C23">
        <w:t xml:space="preserve">, </w:t>
      </w:r>
      <w:proofErr w:type="spellStart"/>
      <w:r w:rsidRPr="00DF1C23">
        <w:t>Янсан</w:t>
      </w:r>
      <w:proofErr w:type="spellEnd"/>
      <w:r w:rsidRPr="00DF1C23">
        <w:t xml:space="preserve"> 50510, Корея; ptpsh@ysu.ac.kr</w:t>
      </w:r>
    </w:p>
    <w:p w:rsidR="00DF1C23" w:rsidRPr="00DF1C23" w:rsidRDefault="00DF1C23" w:rsidP="00DF1C23">
      <w:pPr>
        <w:spacing w:after="0"/>
        <w:contextualSpacing/>
        <w:jc w:val="both"/>
      </w:pPr>
      <w:r w:rsidRPr="00E30593">
        <w:rPr>
          <w:vertAlign w:val="superscript"/>
        </w:rPr>
        <w:t>4</w:t>
      </w:r>
      <w:r w:rsidRPr="00DF1C23">
        <w:t xml:space="preserve"> Радиологическая медицина, Школа медицины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 и научно-исследовательский институт конвергенции биомедицинских наук и технологий, Больница </w:t>
      </w:r>
      <w:proofErr w:type="spellStart"/>
      <w:r w:rsidRPr="00DF1C23">
        <w:t>Янсан</w:t>
      </w:r>
      <w:proofErr w:type="spellEnd"/>
      <w:r w:rsidRPr="00DF1C23">
        <w:t xml:space="preserve"> </w:t>
      </w:r>
      <w:proofErr w:type="spellStart"/>
      <w:r w:rsidRPr="00DF1C23">
        <w:t>Пусанского</w:t>
      </w:r>
      <w:proofErr w:type="spellEnd"/>
      <w:r w:rsidRPr="00DF1C23">
        <w:t xml:space="preserve"> национального университета, </w:t>
      </w:r>
      <w:proofErr w:type="spellStart"/>
      <w:r w:rsidRPr="00DF1C23">
        <w:t>Янсан</w:t>
      </w:r>
      <w:proofErr w:type="spellEnd"/>
      <w:r w:rsidRPr="00DF1C23">
        <w:t xml:space="preserve"> 50612, Корея; mediknight@hanmail.net</w:t>
      </w:r>
    </w:p>
    <w:p w:rsidR="00DF1C23" w:rsidRPr="00DF1C23" w:rsidRDefault="00DF1C23" w:rsidP="00DF1C23">
      <w:pPr>
        <w:spacing w:after="0"/>
        <w:contextualSpacing/>
        <w:jc w:val="both"/>
      </w:pPr>
      <w:r w:rsidRPr="00DF1C23">
        <w:t>* Для писем: drkimsy@gmail.com</w:t>
      </w:r>
    </w:p>
    <w:p w:rsidR="00DF1C23" w:rsidRDefault="00DF1C23" w:rsidP="00DF1C23">
      <w:pPr>
        <w:spacing w:after="0"/>
        <w:contextualSpacing/>
        <w:jc w:val="both"/>
      </w:pPr>
      <w:r w:rsidRPr="00DF1C23">
        <w:t>Поступило: 3 июня 2019 г.; Принято в печать: 16 июня 2019 г.; Опубликовано: 19 июня 2019 г</w:t>
      </w:r>
      <w:r>
        <w:t>.</w:t>
      </w:r>
    </w:p>
    <w:p w:rsidR="00E30593" w:rsidRDefault="00E30593" w:rsidP="00DF1C23">
      <w:pPr>
        <w:spacing w:after="0"/>
        <w:contextualSpacing/>
        <w:jc w:val="both"/>
      </w:pPr>
    </w:p>
    <w:p w:rsidR="00373F01" w:rsidRDefault="00736A92" w:rsidP="00373F01">
      <w:pPr>
        <w:spacing w:after="0"/>
        <w:contextualSpacing/>
        <w:jc w:val="both"/>
      </w:pPr>
      <w:r w:rsidRPr="00736A92">
        <w:rPr>
          <w:b/>
        </w:rPr>
        <w:t>Резюме:</w:t>
      </w:r>
      <w:r w:rsidRPr="00736A92">
        <w:t xml:space="preserve"> Недавно разработанная методика </w:t>
      </w:r>
      <w:r w:rsidR="0036417B" w:rsidRPr="0036417B">
        <w:t>вытяжения (</w:t>
      </w:r>
      <w:proofErr w:type="spellStart"/>
      <w:r w:rsidR="0036417B" w:rsidRPr="0036417B">
        <w:t>тракции</w:t>
      </w:r>
      <w:proofErr w:type="spellEnd"/>
      <w:r w:rsidR="0036417B" w:rsidRPr="0036417B">
        <w:t xml:space="preserve">) с контролем </w:t>
      </w:r>
      <w:proofErr w:type="spellStart"/>
      <w:r w:rsidR="0036417B" w:rsidRPr="0036417B">
        <w:t>лортодического</w:t>
      </w:r>
      <w:proofErr w:type="spellEnd"/>
      <w:r w:rsidR="0036417B" w:rsidRPr="0036417B">
        <w:t xml:space="preserve"> изгиба</w:t>
      </w:r>
      <w:r w:rsidR="00F13757">
        <w:t xml:space="preserve"> шейного отдела</w:t>
      </w:r>
      <w:r w:rsidR="00373F01" w:rsidRPr="0036417B">
        <w:t xml:space="preserve"> (C</w:t>
      </w:r>
      <w:r w:rsidR="00373F01">
        <w:t xml:space="preserve">-LCCT), </w:t>
      </w:r>
      <w:r w:rsidRPr="00736A92">
        <w:t>вероятно может быть идеальным методом улучшения результатов лечения у пациентов с заболеванием шейных межпозвоночных дисков. Цель</w:t>
      </w:r>
      <w:r w:rsidR="000378D5">
        <w:t>ю этого исследования было изучение результатов</w:t>
      </w:r>
      <w:r w:rsidRPr="00736A92">
        <w:t xml:space="preserve"> лечения по методу C-LCCT, включая функциональные и морфологические изменения шейного межпозвоночного диска по сравнению с традиционной </w:t>
      </w:r>
      <w:proofErr w:type="spellStart"/>
      <w:r w:rsidRPr="00736A92">
        <w:t>тракцией</w:t>
      </w:r>
      <w:proofErr w:type="spellEnd"/>
      <w:r w:rsidRPr="00736A92">
        <w:t xml:space="preserve"> (TT). В исследовании приняли участие 40 пациентов с заболеванием шейного межпозвоночного диска C5-С6, которое было бы подтверждено магнитно-резонансной томографией. Пациенты были разделены на две группы: группа C-LCCT и группа TT.</w:t>
      </w:r>
      <w:r w:rsidR="00373F01">
        <w:t xml:space="preserve"> Изменения </w:t>
      </w:r>
      <w:r w:rsidR="00204D35">
        <w:t>состояния</w:t>
      </w:r>
      <w:r w:rsidR="00373F01">
        <w:t xml:space="preserve"> здоровья пациентов регистрировались с использованием оценки боли, фун</w:t>
      </w:r>
      <w:r w:rsidR="00473527">
        <w:t>кциональных оценок (визуально-а</w:t>
      </w:r>
      <w:r w:rsidR="00373F01">
        <w:t xml:space="preserve">налоговая шкала, индекс инвалидности Освестри) и морфологических изменений (шейный лордоз, </w:t>
      </w:r>
      <w:r w:rsidR="00463B8A">
        <w:t>площадь</w:t>
      </w:r>
      <w:r w:rsidR="00373F01">
        <w:t xml:space="preserve"> центрального канала) до и после </w:t>
      </w:r>
      <w:proofErr w:type="spellStart"/>
      <w:r w:rsidR="00373F01">
        <w:t>тракционной</w:t>
      </w:r>
      <w:proofErr w:type="spellEnd"/>
      <w:r w:rsidR="00373F01">
        <w:t xml:space="preserve"> терапии. Обе группы показали значительное улучшение по оценке боли после </w:t>
      </w:r>
      <w:proofErr w:type="spellStart"/>
      <w:r w:rsidR="00373F01">
        <w:t>тракции</w:t>
      </w:r>
      <w:proofErr w:type="spellEnd"/>
      <w:r w:rsidR="00373F01">
        <w:t xml:space="preserve"> (р &lt;0,05). Значительно улучшились функциональные оценки и морфологические изменения после лечения в группе C-LCCT. Однако значительного улучшения в группе TT не произошло (р &lt;0,05). </w:t>
      </w:r>
      <w:r w:rsidR="000378D5">
        <w:t>Пациенты из группы C-LCCT показали значительное улучшение с точки зрения боли, функциональных</w:t>
      </w:r>
      <w:r w:rsidR="00373F01">
        <w:t xml:space="preserve"> оце</w:t>
      </w:r>
      <w:r w:rsidR="000378D5">
        <w:t>нок и морфологических изменений</w:t>
      </w:r>
      <w:r w:rsidR="00373F01">
        <w:t xml:space="preserve"> по сравнению с</w:t>
      </w:r>
      <w:r w:rsidR="000378D5">
        <w:t xml:space="preserve"> пациентами из группы</w:t>
      </w:r>
      <w:r w:rsidR="00373F01">
        <w:t xml:space="preserve"> ТТ.  Лечение с применением C-LCCT может быть эффективным </w:t>
      </w:r>
      <w:proofErr w:type="spellStart"/>
      <w:r w:rsidR="00373F01">
        <w:t>тракционным</w:t>
      </w:r>
      <w:proofErr w:type="spellEnd"/>
      <w:r w:rsidR="00373F01">
        <w:t xml:space="preserve"> методом для улучшения результатов </w:t>
      </w:r>
      <w:r w:rsidR="000378D5">
        <w:t>терапии</w:t>
      </w:r>
      <w:r w:rsidR="00373F01">
        <w:t xml:space="preserve"> у пациентов с заболеванием шейных межпозвонковых дисков.</w:t>
      </w:r>
    </w:p>
    <w:p w:rsidR="00E30593" w:rsidRDefault="00373F01" w:rsidP="00373F01">
      <w:pPr>
        <w:spacing w:after="0"/>
        <w:contextualSpacing/>
        <w:jc w:val="both"/>
      </w:pPr>
      <w:r w:rsidRPr="00373F01">
        <w:rPr>
          <w:b/>
        </w:rPr>
        <w:t>Ключевые слова</w:t>
      </w:r>
      <w:r>
        <w:t>: вытя</w:t>
      </w:r>
      <w:r w:rsidR="00331BF6">
        <w:t>жение</w:t>
      </w:r>
      <w:bookmarkStart w:id="0" w:name="_GoBack"/>
      <w:bookmarkEnd w:id="0"/>
      <w:r>
        <w:t xml:space="preserve"> (</w:t>
      </w:r>
      <w:proofErr w:type="spellStart"/>
      <w:r>
        <w:t>тракция</w:t>
      </w:r>
      <w:proofErr w:type="spellEnd"/>
      <w:r>
        <w:t>); шейный лордоз; межпозвоночный диск; боль; функционирование; морфология.</w:t>
      </w:r>
    </w:p>
    <w:p w:rsidR="00373F01" w:rsidRDefault="00373F01" w:rsidP="00373F01">
      <w:pPr>
        <w:spacing w:after="0"/>
        <w:contextualSpacing/>
        <w:jc w:val="both"/>
      </w:pPr>
    </w:p>
    <w:p w:rsidR="00373F01" w:rsidRPr="00550053" w:rsidRDefault="00373F01" w:rsidP="00373F01">
      <w:pPr>
        <w:spacing w:after="0"/>
        <w:contextualSpacing/>
        <w:jc w:val="both"/>
        <w:rPr>
          <w:b/>
        </w:rPr>
      </w:pPr>
      <w:r w:rsidRPr="00550053">
        <w:rPr>
          <w:b/>
        </w:rPr>
        <w:t>1. Введение</w:t>
      </w:r>
    </w:p>
    <w:p w:rsidR="00B66537" w:rsidRDefault="00373F01" w:rsidP="00373F01">
      <w:pPr>
        <w:spacing w:after="0"/>
        <w:contextualSpacing/>
        <w:jc w:val="both"/>
      </w:pPr>
      <w:proofErr w:type="spellStart"/>
      <w:r>
        <w:t>Тракция</w:t>
      </w:r>
      <w:proofErr w:type="spellEnd"/>
      <w:r>
        <w:t xml:space="preserve"> шейного отдела является распространённым методом консервативного лечения пациентов с болью в шее в клинических условиях [</w:t>
      </w:r>
      <w:r w:rsidRPr="00373F01">
        <w:rPr>
          <w:color w:val="2E74B5" w:themeColor="accent5" w:themeShade="BF"/>
        </w:rPr>
        <w:t>1</w:t>
      </w:r>
      <w:r>
        <w:t xml:space="preserve">]. В ранее выполненных отчетах предполагался положительный эффект </w:t>
      </w:r>
      <w:proofErr w:type="spellStart"/>
      <w:r>
        <w:t>тракционного</w:t>
      </w:r>
      <w:proofErr w:type="spellEnd"/>
      <w:r>
        <w:t xml:space="preserve"> метода [</w:t>
      </w:r>
      <w:r w:rsidRPr="00373F01">
        <w:rPr>
          <w:color w:val="2E74B5" w:themeColor="accent5" w:themeShade="BF"/>
        </w:rPr>
        <w:t>2–5</w:t>
      </w:r>
      <w:r>
        <w:t>].</w:t>
      </w:r>
      <w:r w:rsidR="00250F04">
        <w:t xml:space="preserve"> </w:t>
      </w:r>
      <w:r w:rsidR="00250F04" w:rsidRPr="00250F04">
        <w:t xml:space="preserve">К примеру, данный метод увеличивает кровообращение в шейных кровеносных сосудах за счет растяжения </w:t>
      </w:r>
      <w:proofErr w:type="spellStart"/>
      <w:r w:rsidR="00250F04" w:rsidRPr="00250F04">
        <w:t>параспинальных</w:t>
      </w:r>
      <w:proofErr w:type="spellEnd"/>
      <w:r w:rsidR="00250F04" w:rsidRPr="00250F04">
        <w:t xml:space="preserve"> мышц и связок, а также способствует расслаблению мышц. Кроме того, метод снижает компрессию нервных корешков за счет увеличения расстояния между позвонками [</w:t>
      </w:r>
      <w:r w:rsidR="00250F04" w:rsidRPr="00250F04">
        <w:rPr>
          <w:color w:val="2E74B5" w:themeColor="accent5" w:themeShade="BF"/>
        </w:rPr>
        <w:t>6,7</w:t>
      </w:r>
      <w:r w:rsidR="00250F04" w:rsidRPr="00250F04">
        <w:t xml:space="preserve">]. </w:t>
      </w:r>
      <w:proofErr w:type="spellStart"/>
      <w:r w:rsidR="00250F04" w:rsidRPr="00250F04">
        <w:t>Тракция</w:t>
      </w:r>
      <w:proofErr w:type="spellEnd"/>
      <w:r w:rsidR="00250F04" w:rsidRPr="00250F04">
        <w:t xml:space="preserve"> также снижает передачу боли в сенсорных волокнах спинного мозга за счет стимуляции афферентных волокон суставов и мышц </w:t>
      </w:r>
      <w:proofErr w:type="spellStart"/>
      <w:r w:rsidR="00250F04" w:rsidRPr="00250F04">
        <w:t>пресинаптического</w:t>
      </w:r>
      <w:proofErr w:type="spellEnd"/>
      <w:r w:rsidR="00250F04" w:rsidRPr="00250F04">
        <w:t xml:space="preserve"> пространства [</w:t>
      </w:r>
      <w:r w:rsidR="00250F04" w:rsidRPr="00250F04">
        <w:rPr>
          <w:color w:val="2E74B5" w:themeColor="accent5" w:themeShade="BF"/>
        </w:rPr>
        <w:t>8</w:t>
      </w:r>
      <w:r w:rsidR="00250F04" w:rsidRPr="00250F04">
        <w:t>]</w:t>
      </w:r>
      <w:r w:rsidR="00250F04">
        <w:t>.</w:t>
      </w:r>
      <w:r w:rsidR="009D4B08">
        <w:t xml:space="preserve"> </w:t>
      </w:r>
      <w:r w:rsidR="00204D35" w:rsidRPr="00204D35">
        <w:t>Следовательно, это может привести к ослаблению боли, увеличению диапазона движения шеи и улучшению функционального здоровья за счет у</w:t>
      </w:r>
      <w:r w:rsidR="000378D5">
        <w:t>величения</w:t>
      </w:r>
      <w:r w:rsidR="00204D35" w:rsidRPr="00204D35">
        <w:t xml:space="preserve"> межпозвонкового пространства</w:t>
      </w:r>
      <w:r w:rsidR="009D4B08" w:rsidRPr="009D4B08">
        <w:t xml:space="preserve"> [</w:t>
      </w:r>
      <w:r w:rsidR="009D4B08" w:rsidRPr="009D4B08">
        <w:rPr>
          <w:color w:val="2E74B5" w:themeColor="accent5" w:themeShade="BF"/>
        </w:rPr>
        <w:t>9–11</w:t>
      </w:r>
      <w:r w:rsidR="009D4B08" w:rsidRPr="009D4B08">
        <w:t xml:space="preserve">]. Тем не менее, ряд исследований сообщает о неоднозначных результатах техники вытяжения и показывает, что </w:t>
      </w:r>
      <w:proofErr w:type="spellStart"/>
      <w:r w:rsidR="009D4B08" w:rsidRPr="009D4B08">
        <w:t>тракция</w:t>
      </w:r>
      <w:proofErr w:type="spellEnd"/>
      <w:r w:rsidR="009D4B08" w:rsidRPr="009D4B08">
        <w:t xml:space="preserve"> не имеет преимуществ перед другими консервативными методами, такими как физиотерапия и плацебо при заболеваниях шейных межпозвонковых дисков [</w:t>
      </w:r>
      <w:r w:rsidR="009D4B08" w:rsidRPr="009D4B08">
        <w:rPr>
          <w:color w:val="2E74B5" w:themeColor="accent5" w:themeShade="BF"/>
        </w:rPr>
        <w:t>12–15</w:t>
      </w:r>
      <w:r w:rsidR="009D4B08" w:rsidRPr="009D4B08">
        <w:t xml:space="preserve">]. Некоторые исследования показали уменьшение боли и функциональное улучшение после </w:t>
      </w:r>
      <w:proofErr w:type="spellStart"/>
      <w:r w:rsidR="009D4B08" w:rsidRPr="009D4B08">
        <w:t>тракции</w:t>
      </w:r>
      <w:proofErr w:type="spellEnd"/>
      <w:r w:rsidR="009D4B08" w:rsidRPr="009D4B08">
        <w:t>.</w:t>
      </w:r>
      <w:r w:rsidR="009D4B08">
        <w:t xml:space="preserve"> </w:t>
      </w:r>
      <w:r w:rsidR="0052379B" w:rsidRPr="0052379B">
        <w:t xml:space="preserve">Однако, другие исследования сообщали об отсутствии </w:t>
      </w:r>
      <w:r w:rsidR="0052379B" w:rsidRPr="0052379B">
        <w:lastRenderedPageBreak/>
        <w:t xml:space="preserve">изменений после применения </w:t>
      </w:r>
      <w:proofErr w:type="spellStart"/>
      <w:r w:rsidR="0052379B" w:rsidRPr="0052379B">
        <w:t>тракции</w:t>
      </w:r>
      <w:proofErr w:type="spellEnd"/>
      <w:r w:rsidR="0052379B" w:rsidRPr="0052379B">
        <w:t xml:space="preserve">. В большинстве исследований результаты лечения сообщались путем сравнения боли и изменения состояния здоровья с другими консервативными методами. Кроме того, ни в одном исследовании после </w:t>
      </w:r>
      <w:proofErr w:type="spellStart"/>
      <w:r w:rsidR="0052379B" w:rsidRPr="0052379B">
        <w:t>тракции</w:t>
      </w:r>
      <w:proofErr w:type="spellEnd"/>
      <w:r w:rsidR="0052379B" w:rsidRPr="0052379B">
        <w:t xml:space="preserve"> не было выявлено каких-либо значительных морфологических улучшений, к примеру, таких как уменьшение степени тяжести грыжи межпозвоночного диска или изменений на снимке МРТ. В нескольких систематических обзорах сообщалось, что эффективность </w:t>
      </w:r>
      <w:proofErr w:type="spellStart"/>
      <w:r w:rsidR="0052379B" w:rsidRPr="0052379B">
        <w:t>тракции</w:t>
      </w:r>
      <w:proofErr w:type="spellEnd"/>
      <w:r w:rsidR="0052379B" w:rsidRPr="0052379B">
        <w:t xml:space="preserve"> шеи была безрезультатной из-за недостаточной методологии и технических сбоев [</w:t>
      </w:r>
      <w:r w:rsidR="0052379B" w:rsidRPr="0052379B">
        <w:rPr>
          <w:color w:val="2E74B5" w:themeColor="accent5" w:themeShade="BF"/>
        </w:rPr>
        <w:t>12,16,17</w:t>
      </w:r>
      <w:r w:rsidR="0052379B" w:rsidRPr="0052379B">
        <w:t xml:space="preserve">]. В ранее выполненных исследованиях не наблюдался точный эффект </w:t>
      </w:r>
      <w:proofErr w:type="spellStart"/>
      <w:r w:rsidR="0052379B" w:rsidRPr="0052379B">
        <w:t>тракции</w:t>
      </w:r>
      <w:proofErr w:type="spellEnd"/>
      <w:r w:rsidR="0052379B" w:rsidRPr="0052379B">
        <w:t xml:space="preserve"> по следующим причинам: из-за недостатка методических рекомендаций, отбора пациентов, метода измерения, контролируемой концепции исследования. Таким образом, клиническое применение </w:t>
      </w:r>
      <w:proofErr w:type="spellStart"/>
      <w:r w:rsidR="0052379B" w:rsidRPr="0052379B">
        <w:t>тракции</w:t>
      </w:r>
      <w:proofErr w:type="spellEnd"/>
      <w:r w:rsidR="0052379B" w:rsidRPr="0052379B">
        <w:t xml:space="preserve"> не пользуется популярностью для лечения заболеваний шейного межпозвоночного диска, что подчеркивает необходимость дальнейшего теоретического и технического анализа.</w:t>
      </w:r>
      <w:r w:rsidR="00B66537">
        <w:t xml:space="preserve"> </w:t>
      </w:r>
    </w:p>
    <w:p w:rsidR="00373F01" w:rsidRDefault="00B66537" w:rsidP="00373F01">
      <w:pPr>
        <w:spacing w:after="0"/>
        <w:contextualSpacing/>
        <w:jc w:val="both"/>
      </w:pPr>
      <w:r w:rsidRPr="00B66537">
        <w:t xml:space="preserve">Неправильное давление на структуры межпозвоночных дисков при традиционной техники вытяжения (TT) может приводить к низким клиническим результатам. В положении лежа на спине </w:t>
      </w:r>
      <w:proofErr w:type="spellStart"/>
      <w:r w:rsidRPr="00B66537">
        <w:t>лордотическая</w:t>
      </w:r>
      <w:proofErr w:type="spellEnd"/>
      <w:r w:rsidRPr="00B66537">
        <w:t xml:space="preserve"> кривая шейного изгиба уменьшается под воздействием силы тяжести. При приложении вытягивающей силы к шейному отделу позвоночника в положении лежа на спине, в первую очередь восстанавливается естественная </w:t>
      </w:r>
      <w:proofErr w:type="spellStart"/>
      <w:r w:rsidRPr="00B66537">
        <w:t>лордотическая</w:t>
      </w:r>
      <w:proofErr w:type="spellEnd"/>
      <w:r w:rsidRPr="00B66537">
        <w:t xml:space="preserve"> дуга, а не возникает декомпрессия межпозвонковых дисков. При ТТ задние структуры позвоночника, такие как </w:t>
      </w:r>
      <w:proofErr w:type="spellStart"/>
      <w:r w:rsidRPr="00B66537">
        <w:t>дугоотростчатые</w:t>
      </w:r>
      <w:proofErr w:type="spellEnd"/>
      <w:r w:rsidRPr="00B66537">
        <w:t xml:space="preserve"> суставы, задняя продольная связка и межостистые связки растягиваются сильнее, чем передние структуры позвоночника [</w:t>
      </w:r>
      <w:r w:rsidRPr="00465BEB">
        <w:rPr>
          <w:color w:val="2E74B5" w:themeColor="accent5" w:themeShade="BF"/>
        </w:rPr>
        <w:t>16</w:t>
      </w:r>
      <w:r w:rsidRPr="00B66537">
        <w:t>].</w:t>
      </w:r>
      <w:r w:rsidR="000A3B09">
        <w:t xml:space="preserve"> </w:t>
      </w:r>
      <w:r w:rsidR="000A3B09" w:rsidRPr="000A3B09">
        <w:t xml:space="preserve">Используя ТТ при </w:t>
      </w:r>
      <w:proofErr w:type="spellStart"/>
      <w:r w:rsidR="000A3B09" w:rsidRPr="000A3B09">
        <w:t>тракции</w:t>
      </w:r>
      <w:proofErr w:type="spellEnd"/>
      <w:r w:rsidR="000A3B09" w:rsidRPr="000A3B09">
        <w:t xml:space="preserve"> позвоночника в положении лёжа на спине, </w:t>
      </w:r>
      <w:proofErr w:type="spellStart"/>
      <w:r w:rsidR="000A3B09" w:rsidRPr="000A3B09">
        <w:t>лордотическая</w:t>
      </w:r>
      <w:proofErr w:type="spellEnd"/>
      <w:r w:rsidR="000A3B09" w:rsidRPr="000A3B09">
        <w:t xml:space="preserve"> кривая уменьшается после значительного растяжения задних структур позвоночника, в результате чего возникает боль. Таким образом, мы изучали сохраняет ли </w:t>
      </w:r>
      <w:proofErr w:type="spellStart"/>
      <w:r w:rsidR="000A3B09" w:rsidRPr="000A3B09">
        <w:t>тракционная</w:t>
      </w:r>
      <w:proofErr w:type="spellEnd"/>
      <w:r w:rsidR="000A3B09" w:rsidRPr="000A3B09">
        <w:t xml:space="preserve"> сила на позвонки </w:t>
      </w:r>
      <w:proofErr w:type="spellStart"/>
      <w:r w:rsidR="000A3B09" w:rsidRPr="000A3B09">
        <w:t>лордотическую</w:t>
      </w:r>
      <w:proofErr w:type="spellEnd"/>
      <w:r w:rsidR="000A3B09" w:rsidRPr="000A3B09">
        <w:t xml:space="preserve"> кривую, при равномерном распределении силы на передние и задние структуры позвоночника. Впоследствии было изобретено новейшее устройство для </w:t>
      </w:r>
      <w:r w:rsidR="0036417B" w:rsidRPr="0036417B">
        <w:t>вытяжения (</w:t>
      </w:r>
      <w:proofErr w:type="spellStart"/>
      <w:r w:rsidR="0036417B" w:rsidRPr="0036417B">
        <w:t>тракции</w:t>
      </w:r>
      <w:proofErr w:type="spellEnd"/>
      <w:r w:rsidR="0036417B" w:rsidRPr="0036417B">
        <w:t xml:space="preserve">) с контролем </w:t>
      </w:r>
      <w:proofErr w:type="spellStart"/>
      <w:r w:rsidR="0036417B" w:rsidRPr="0036417B">
        <w:t>лортодического</w:t>
      </w:r>
      <w:proofErr w:type="spellEnd"/>
      <w:r w:rsidR="0036417B" w:rsidRPr="0036417B">
        <w:t xml:space="preserve"> изгиба</w:t>
      </w:r>
      <w:r w:rsidR="0036417B" w:rsidRPr="000A3B09">
        <w:t xml:space="preserve"> </w:t>
      </w:r>
      <w:r w:rsidR="000A3B09" w:rsidRPr="000A3B09">
        <w:t>(C-LCCT). В нашем предыдущем исследовании мы измерили терапевтический эффект LCCT у пациентов с заболеванием по</w:t>
      </w:r>
      <w:r w:rsidR="000A3B09">
        <w:t xml:space="preserve">ясничного межпозвоночного диска </w:t>
      </w:r>
      <w:r w:rsidR="000A3B09" w:rsidRPr="000A3B09">
        <w:t>(находится на рассмотрении).</w:t>
      </w:r>
      <w:r w:rsidR="005D19BE">
        <w:t xml:space="preserve"> </w:t>
      </w:r>
      <w:r w:rsidR="005D19BE" w:rsidRPr="005D19BE">
        <w:t xml:space="preserve">В дальнейшем мы применили эту технику у пациентов с заболеванием межпозвоночных дисков шейного отдела. Мы попытались проанализировать морфологические изменения степени тяжести заболевания шейного диска (шейный лордоз, </w:t>
      </w:r>
      <w:r w:rsidR="00463B8A">
        <w:t>площадь</w:t>
      </w:r>
      <w:r w:rsidR="005D19BE" w:rsidRPr="005D19BE">
        <w:t xml:space="preserve"> центрального канала) с помощью обычной рентгенографии (рентген) и МРТ после применения вновь разработанного </w:t>
      </w:r>
      <w:r w:rsidR="00690876">
        <w:t xml:space="preserve">метода </w:t>
      </w:r>
      <w:r w:rsidR="005D19BE" w:rsidRPr="005D19BE">
        <w:t xml:space="preserve">C-LCCT. Таким образом, целью нашего исследования было сравнение клинических и морфологических изменений после применения C-LCCT и TT у пациентов с заболеванием межпозвоночных дисков шейного отдела. Мы провели двойное слепое </w:t>
      </w:r>
      <w:proofErr w:type="spellStart"/>
      <w:r w:rsidR="005D19BE" w:rsidRPr="005D19BE">
        <w:t>рандомизированное</w:t>
      </w:r>
      <w:proofErr w:type="spellEnd"/>
      <w:r w:rsidR="005D19BE" w:rsidRPr="005D19BE">
        <w:t xml:space="preserve"> контролируемое исследование для анализа боли, функциональных и морфологических изменений</w:t>
      </w:r>
      <w:r w:rsidR="00781ED7">
        <w:t xml:space="preserve"> </w:t>
      </w:r>
      <w:r w:rsidR="00781ED7" w:rsidRPr="005D19BE">
        <w:t>у пациентов</w:t>
      </w:r>
      <w:r w:rsidR="005D19BE" w:rsidRPr="005D19BE">
        <w:t xml:space="preserve"> после </w:t>
      </w:r>
      <w:proofErr w:type="spellStart"/>
      <w:r w:rsidR="005D19BE" w:rsidRPr="005D19BE">
        <w:t>тракции</w:t>
      </w:r>
      <w:proofErr w:type="spellEnd"/>
      <w:r w:rsidR="005D19BE" w:rsidRPr="005D19BE">
        <w:t>.</w:t>
      </w:r>
    </w:p>
    <w:p w:rsidR="007C0C20" w:rsidRPr="007C0C20" w:rsidRDefault="007C0C20" w:rsidP="00373F01">
      <w:pPr>
        <w:spacing w:after="0"/>
        <w:contextualSpacing/>
        <w:jc w:val="both"/>
        <w:rPr>
          <w:b/>
        </w:rPr>
      </w:pPr>
    </w:p>
    <w:p w:rsidR="007C0C20" w:rsidRPr="007C0C20" w:rsidRDefault="007C0C20" w:rsidP="007C0C20">
      <w:pPr>
        <w:spacing w:after="0"/>
        <w:contextualSpacing/>
        <w:jc w:val="both"/>
        <w:rPr>
          <w:b/>
        </w:rPr>
      </w:pPr>
      <w:r w:rsidRPr="007C0C20">
        <w:rPr>
          <w:b/>
        </w:rPr>
        <w:t>2. Материалы и методы</w:t>
      </w:r>
    </w:p>
    <w:p w:rsidR="007C0C20" w:rsidRDefault="007C0C20" w:rsidP="007C0C20">
      <w:pPr>
        <w:spacing w:after="0"/>
        <w:contextualSpacing/>
        <w:jc w:val="both"/>
      </w:pPr>
      <w:r>
        <w:t xml:space="preserve">В данном двойном слепом </w:t>
      </w:r>
      <w:proofErr w:type="spellStart"/>
      <w:r>
        <w:t>рандомизированном</w:t>
      </w:r>
      <w:proofErr w:type="spellEnd"/>
      <w:r>
        <w:t xml:space="preserve"> контролируемом исследовании были отобраны 40 пациентов из поликлиники. Все пациенты дали своё согласие перед тем как приступить к участию в исследовании. Исследование было одобрено наблюдательным советом (IRB 04-2018-034).</w:t>
      </w:r>
    </w:p>
    <w:p w:rsidR="007C0C20" w:rsidRDefault="007C0C20" w:rsidP="007C0C20">
      <w:pPr>
        <w:spacing w:after="0"/>
        <w:contextualSpacing/>
        <w:jc w:val="both"/>
      </w:pPr>
    </w:p>
    <w:p w:rsidR="007C0C20" w:rsidRPr="007C0C20" w:rsidRDefault="007C0C20" w:rsidP="007C0C20">
      <w:pPr>
        <w:spacing w:after="0"/>
        <w:contextualSpacing/>
        <w:jc w:val="both"/>
        <w:rPr>
          <w:i/>
        </w:rPr>
      </w:pPr>
      <w:r w:rsidRPr="007C0C20">
        <w:rPr>
          <w:i/>
        </w:rPr>
        <w:t>2.1. Участники исследования и исследуемая область</w:t>
      </w:r>
    </w:p>
    <w:p w:rsidR="007C0C20" w:rsidRDefault="007C0C20" w:rsidP="007C0C20">
      <w:pPr>
        <w:spacing w:after="0"/>
        <w:contextualSpacing/>
        <w:jc w:val="both"/>
      </w:pPr>
      <w:r>
        <w:t>40 пациентов с поражением шейных межпозвонковых дисков C5-С6, что было подтверждено МРТ, были набраны с апреля 2018 г. по январь 2019 г.</w:t>
      </w:r>
      <w:r w:rsidR="00473527">
        <w:t xml:space="preserve"> </w:t>
      </w:r>
      <w:r w:rsidR="00473527" w:rsidRPr="00473527">
        <w:t xml:space="preserve">Степень тяжести поражения шейного диска была измерена с помощью </w:t>
      </w:r>
      <w:r w:rsidR="00781ED7">
        <w:t xml:space="preserve">1) </w:t>
      </w:r>
      <w:r w:rsidR="00473527" w:rsidRPr="00473527">
        <w:t xml:space="preserve">визуально-аналоговой шкалы (VAS), </w:t>
      </w:r>
      <w:r w:rsidR="00781ED7">
        <w:t xml:space="preserve">2) </w:t>
      </w:r>
      <w:r w:rsidR="00473527" w:rsidRPr="00473527">
        <w:t>индекса инв</w:t>
      </w:r>
      <w:r w:rsidR="00781ED7">
        <w:t xml:space="preserve">алидности Освестри (ODI), 3) </w:t>
      </w:r>
      <w:r w:rsidR="00473527">
        <w:t>угл</w:t>
      </w:r>
      <w:r w:rsidR="00473527" w:rsidRPr="00473527">
        <w:t>а</w:t>
      </w:r>
      <w:r w:rsidR="00470BC5">
        <w:t xml:space="preserve"> по </w:t>
      </w:r>
      <w:proofErr w:type="spellStart"/>
      <w:r w:rsidR="00470BC5">
        <w:t>Коббу</w:t>
      </w:r>
      <w:proofErr w:type="spellEnd"/>
      <w:r w:rsidR="00473527" w:rsidRPr="00473527">
        <w:t xml:space="preserve"> в боковой проекции шейного отдела позвоночника с помощью рентгеновского снимка</w:t>
      </w:r>
      <w:r w:rsidR="00781ED7">
        <w:t>,</w:t>
      </w:r>
      <w:r w:rsidR="00473527" w:rsidRPr="00473527">
        <w:t xml:space="preserve"> и</w:t>
      </w:r>
      <w:r w:rsidR="00781ED7">
        <w:t xml:space="preserve"> 4)</w:t>
      </w:r>
      <w:r w:rsidR="00473527" w:rsidRPr="00473527">
        <w:t xml:space="preserve"> </w:t>
      </w:r>
      <w:r w:rsidR="00463B8A">
        <w:t>площади</w:t>
      </w:r>
      <w:r w:rsidR="00473527" w:rsidRPr="00473527">
        <w:t xml:space="preserve"> центрального канала с помощью МРТ шейного отдела.</w:t>
      </w:r>
      <w:r w:rsidR="00225736">
        <w:t xml:space="preserve"> </w:t>
      </w:r>
      <w:r w:rsidR="00225736" w:rsidRPr="00225736">
        <w:t xml:space="preserve">Критерием, согласно которому пациентов включали в эксперимент, был диагноз компрессии нервного корешка C5-С6 по данным МРТ шейного отдела / или </w:t>
      </w:r>
      <w:proofErr w:type="spellStart"/>
      <w:r w:rsidR="00225736" w:rsidRPr="00225736">
        <w:t>радикулопатия</w:t>
      </w:r>
      <w:proofErr w:type="spellEnd"/>
      <w:r w:rsidR="00225736" w:rsidRPr="00225736">
        <w:t xml:space="preserve"> шейного отдела, подтвержденная электромиографией (ЭМГ), с длительной болью в шее более трех месяцев. Критерии исключения были следующими: (1) </w:t>
      </w:r>
      <w:proofErr w:type="spellStart"/>
      <w:r w:rsidR="00225736" w:rsidRPr="00225736">
        <w:t>протрузия</w:t>
      </w:r>
      <w:proofErr w:type="spellEnd"/>
      <w:r w:rsidR="00225736" w:rsidRPr="00225736">
        <w:t xml:space="preserve"> центрального диска с компрессией спинного мозга; (2) острое воспаление; (3</w:t>
      </w:r>
      <w:r w:rsidR="009E3D01">
        <w:t>) злокачественное заболевание;</w:t>
      </w:r>
      <w:r w:rsidR="00225736" w:rsidRPr="00225736">
        <w:t xml:space="preserve"> (4) нестабильные </w:t>
      </w:r>
      <w:r w:rsidR="00225736" w:rsidRPr="00225736">
        <w:lastRenderedPageBreak/>
        <w:t>позвонки или ранее проведённые операции на позвоночнике</w:t>
      </w:r>
      <w:r w:rsidR="00612501">
        <w:t xml:space="preserve">. </w:t>
      </w:r>
      <w:r w:rsidR="00612501" w:rsidRPr="00612501">
        <w:t>Пациенты были случайным образом разделены на две группы C-LCCT и TT врачом-исследователем с использованием таблицы случайных чисел, сгенерированной компьютером. Никто из пациентов не знал в какой группе оказался. Оценки проводил врач, который также не знал какое лечение проходит пациент.</w:t>
      </w:r>
    </w:p>
    <w:p w:rsidR="006F74AD" w:rsidRPr="006F74AD" w:rsidRDefault="006F74AD" w:rsidP="007C0C20">
      <w:pPr>
        <w:spacing w:after="0"/>
        <w:contextualSpacing/>
        <w:jc w:val="both"/>
        <w:rPr>
          <w:i/>
        </w:rPr>
      </w:pPr>
    </w:p>
    <w:p w:rsidR="006F74AD" w:rsidRDefault="006F74AD" w:rsidP="007C0C20">
      <w:pPr>
        <w:spacing w:after="0"/>
        <w:contextualSpacing/>
        <w:jc w:val="both"/>
        <w:rPr>
          <w:i/>
        </w:rPr>
      </w:pPr>
      <w:r w:rsidRPr="006F74AD">
        <w:rPr>
          <w:i/>
        </w:rPr>
        <w:t>2.2 C-LCCT против TT</w:t>
      </w:r>
    </w:p>
    <w:p w:rsidR="00C94B99" w:rsidRDefault="0042214D" w:rsidP="007C0C20">
      <w:pPr>
        <w:spacing w:after="0"/>
        <w:contextualSpacing/>
        <w:jc w:val="both"/>
      </w:pPr>
      <w:r w:rsidRPr="0042214D">
        <w:t xml:space="preserve">Метод C-LCCT (метод реализуется оборудованием KINETRAC KNX-9900, </w:t>
      </w:r>
      <w:proofErr w:type="spellStart"/>
      <w:r w:rsidRPr="0042214D">
        <w:t>Hanmed</w:t>
      </w:r>
      <w:proofErr w:type="spellEnd"/>
      <w:r w:rsidRPr="0042214D">
        <w:t xml:space="preserve"> </w:t>
      </w:r>
      <w:proofErr w:type="spellStart"/>
      <w:r w:rsidRPr="0042214D">
        <w:t>Co</w:t>
      </w:r>
      <w:proofErr w:type="spellEnd"/>
      <w:r w:rsidRPr="0042214D">
        <w:t xml:space="preserve">., </w:t>
      </w:r>
      <w:proofErr w:type="spellStart"/>
      <w:r w:rsidRPr="0042214D">
        <w:t>Кимхэ</w:t>
      </w:r>
      <w:proofErr w:type="spellEnd"/>
      <w:r w:rsidRPr="0042214D">
        <w:t>, Республика Корея) был разработан для подд</w:t>
      </w:r>
      <w:r w:rsidR="00781ED7">
        <w:t xml:space="preserve">ержания естественного </w:t>
      </w:r>
      <w:proofErr w:type="spellStart"/>
      <w:r w:rsidR="00781ED7">
        <w:t>лордотического</w:t>
      </w:r>
      <w:proofErr w:type="spellEnd"/>
      <w:r w:rsidRPr="0042214D">
        <w:t xml:space="preserve"> изгиба шеи в межпозвоночном промежутке C4–С6.</w:t>
      </w:r>
      <w:r w:rsidR="000A7584">
        <w:t xml:space="preserve"> </w:t>
      </w:r>
      <w:r w:rsidR="00C94B99" w:rsidRPr="00C94B99">
        <w:t>Сравнение методов C-LCCT и TT представлено на рисунке 1. Сначала с помощью пальпации в области межпозвоночного пространства С4-С6 крепится магнитный маркер. Автомат</w:t>
      </w:r>
      <w:r w:rsidR="00B92E5D">
        <w:t>ическая</w:t>
      </w:r>
      <w:r w:rsidR="00C94B99" w:rsidRPr="00C94B99">
        <w:t xml:space="preserve"> система отслеживания с помощью данного маркера обеспечивала шейную </w:t>
      </w:r>
      <w:proofErr w:type="spellStart"/>
      <w:r w:rsidR="00C94B99" w:rsidRPr="00C94B99">
        <w:t>лордотическую</w:t>
      </w:r>
      <w:proofErr w:type="spellEnd"/>
      <w:r w:rsidR="00C94B99" w:rsidRPr="00C94B99">
        <w:t xml:space="preserve"> кривую за счет подъема сегмента C4–С6 в процессе C-LCCT. </w:t>
      </w:r>
      <w:proofErr w:type="gramStart"/>
      <w:r w:rsidR="00C94B99" w:rsidRPr="00C94B99">
        <w:t>Во</w:t>
      </w:r>
      <w:r w:rsidR="00781ED7">
        <w:t xml:space="preserve"> </w:t>
      </w:r>
      <w:r w:rsidR="00C94B99" w:rsidRPr="00C94B99">
        <w:t>время</w:t>
      </w:r>
      <w:proofErr w:type="gramEnd"/>
      <w:r w:rsidR="00C94B99" w:rsidRPr="00C94B99">
        <w:t xml:space="preserve"> C-LCCT для каждого участника высота опоры, приподнимающей шейный </w:t>
      </w:r>
      <w:proofErr w:type="spellStart"/>
      <w:r w:rsidR="00C94B99" w:rsidRPr="00C94B99">
        <w:t>лордотический</w:t>
      </w:r>
      <w:proofErr w:type="spellEnd"/>
      <w:r w:rsidR="00C94B99" w:rsidRPr="00C94B99">
        <w:t xml:space="preserve"> изгиб, была увеличена до максимального значения, обеспечивающего удобство. И наоборот, метод TT применялся привычно, без сохранения </w:t>
      </w:r>
      <w:proofErr w:type="spellStart"/>
      <w:r w:rsidR="00C94B99" w:rsidRPr="00C94B99">
        <w:t>лордотического</w:t>
      </w:r>
      <w:proofErr w:type="spellEnd"/>
      <w:r w:rsidR="00C94B99" w:rsidRPr="00C94B99">
        <w:t xml:space="preserve"> изгиба шейного отдела в процессе вытяжения. При этом пациенты оставались в положении лежа на вытяжном столе, под каждое колено были помещены опоры. Приложенная тяга постепенно увеличивалась до максимально терпимого уровня или до достижения значения троекратного веса пациента. </w:t>
      </w:r>
      <w:proofErr w:type="spellStart"/>
      <w:r w:rsidR="00C94B99" w:rsidRPr="00C94B99">
        <w:t>Тракция</w:t>
      </w:r>
      <w:proofErr w:type="spellEnd"/>
      <w:r w:rsidR="00C94B99" w:rsidRPr="00C94B99">
        <w:t xml:space="preserve"> длилась 15 минут за один сеанс. В неделю выполнялось три сеанса в течение 5 недель - в сумме 15 сеансов.</w:t>
      </w:r>
    </w:p>
    <w:p w:rsidR="00781ED7" w:rsidRDefault="00781ED7" w:rsidP="007C0C20">
      <w:pPr>
        <w:spacing w:after="0"/>
        <w:contextualSpacing/>
        <w:jc w:val="both"/>
      </w:pPr>
    </w:p>
    <w:p w:rsidR="0036417B" w:rsidRDefault="0036417B" w:rsidP="007C0C20">
      <w:pPr>
        <w:spacing w:after="0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6178398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83" cy="22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7B" w:rsidRDefault="0036417B" w:rsidP="007C0C20">
      <w:pPr>
        <w:spacing w:after="0"/>
        <w:contextualSpacing/>
        <w:jc w:val="both"/>
      </w:pPr>
    </w:p>
    <w:p w:rsidR="0036417B" w:rsidRDefault="0036417B" w:rsidP="007C0C20">
      <w:pPr>
        <w:spacing w:after="0"/>
        <w:contextualSpacing/>
        <w:jc w:val="both"/>
      </w:pPr>
      <w:r w:rsidRPr="0036417B">
        <w:rPr>
          <w:b/>
        </w:rPr>
        <w:t>Рис</w:t>
      </w:r>
      <w:r>
        <w:rPr>
          <w:b/>
        </w:rPr>
        <w:t>унок</w:t>
      </w:r>
      <w:r w:rsidRPr="0036417B">
        <w:rPr>
          <w:b/>
        </w:rPr>
        <w:t>. 1</w:t>
      </w:r>
      <w:r w:rsidRPr="0036417B">
        <w:t xml:space="preserve">. Техники </w:t>
      </w:r>
      <w:proofErr w:type="spellStart"/>
      <w:r w:rsidRPr="0036417B">
        <w:t>тракции</w:t>
      </w:r>
      <w:proofErr w:type="spellEnd"/>
      <w:r w:rsidRPr="0036417B">
        <w:t xml:space="preserve"> шейного отдела: (</w:t>
      </w:r>
      <w:r w:rsidRPr="0036417B">
        <w:rPr>
          <w:b/>
        </w:rPr>
        <w:t>A</w:t>
      </w:r>
      <w:r w:rsidRPr="0036417B">
        <w:t xml:space="preserve">) </w:t>
      </w:r>
      <w:proofErr w:type="spellStart"/>
      <w:r w:rsidRPr="0036417B">
        <w:t>тракция</w:t>
      </w:r>
      <w:proofErr w:type="spellEnd"/>
      <w:r w:rsidRPr="0036417B">
        <w:t xml:space="preserve"> с контролем </w:t>
      </w:r>
      <w:proofErr w:type="spellStart"/>
      <w:r w:rsidRPr="0036417B">
        <w:t>лортодического</w:t>
      </w:r>
      <w:proofErr w:type="spellEnd"/>
      <w:r w:rsidRPr="0036417B">
        <w:t xml:space="preserve"> изгиба (C-LCCT) и (</w:t>
      </w:r>
      <w:r w:rsidRPr="0036417B">
        <w:rPr>
          <w:b/>
        </w:rPr>
        <w:t>B</w:t>
      </w:r>
      <w:r w:rsidRPr="0036417B">
        <w:t xml:space="preserve">) традиционная </w:t>
      </w:r>
      <w:proofErr w:type="spellStart"/>
      <w:r w:rsidRPr="0036417B">
        <w:t>тракция</w:t>
      </w:r>
      <w:proofErr w:type="spellEnd"/>
      <w:r w:rsidRPr="0036417B">
        <w:t xml:space="preserve"> (TT).</w:t>
      </w:r>
    </w:p>
    <w:p w:rsidR="00FA18FA" w:rsidRDefault="00FA18FA" w:rsidP="007C0C20">
      <w:pPr>
        <w:spacing w:after="0"/>
        <w:contextualSpacing/>
        <w:jc w:val="both"/>
      </w:pPr>
    </w:p>
    <w:p w:rsidR="00FA18FA" w:rsidRDefault="00FA18FA" w:rsidP="007C0C20">
      <w:pPr>
        <w:spacing w:after="0"/>
        <w:contextualSpacing/>
        <w:jc w:val="both"/>
        <w:rPr>
          <w:i/>
        </w:rPr>
      </w:pPr>
      <w:r w:rsidRPr="00FA18FA">
        <w:rPr>
          <w:i/>
        </w:rPr>
        <w:t>2.3. Оценка результатов с использованием болевого и функционального состояния</w:t>
      </w:r>
    </w:p>
    <w:p w:rsidR="00FA18FA" w:rsidRDefault="00A47816" w:rsidP="007C0C20">
      <w:pPr>
        <w:spacing w:after="0"/>
        <w:contextualSpacing/>
        <w:jc w:val="both"/>
      </w:pPr>
      <w:r w:rsidRPr="00A47816">
        <w:t>Изменения функциональных улучшений и оценок боли у участников исследования были измерены до первого сеанса и после прохождения курса.</w:t>
      </w:r>
      <w:r w:rsidR="001B54DD">
        <w:t xml:space="preserve"> </w:t>
      </w:r>
      <w:r w:rsidR="001B54DD" w:rsidRPr="001B54DD">
        <w:t>Оценка с помощью индекса инвалидности Освестри ODI состоит из 10 пунктов, характеризующих повседневную деятельность, которая может быть нарушена вследствие боли. Это следующие пункты: 1. Интенсивность боли, 2. Личный уход, 3. Подъем, 4. Ходьба, 5. Сидение, 6. Сохранение положения стоя, 7. Сон, 8. Половая жизнь, 9. Общественная жизнь и</w:t>
      </w:r>
      <w:r w:rsidR="00781ED7">
        <w:t xml:space="preserve"> 10. Путешествие. Каждый пункт</w:t>
      </w:r>
      <w:r w:rsidR="001B54DD" w:rsidRPr="001B54DD">
        <w:t xml:space="preserve"> оценивается по 6-балльной шкале </w:t>
      </w:r>
      <w:proofErr w:type="spellStart"/>
      <w:r w:rsidR="001B54DD" w:rsidRPr="001B54DD">
        <w:t>Ликерта</w:t>
      </w:r>
      <w:proofErr w:type="spellEnd"/>
      <w:r w:rsidR="001B54DD" w:rsidRPr="001B54DD">
        <w:t>. Общий балл переводится по шкале от 0 до 100, где 0 означает отсутствие инвалидности, а 100 означает наихудшую возможную инвалидность [</w:t>
      </w:r>
      <w:r w:rsidR="001B54DD" w:rsidRPr="001B54DD">
        <w:rPr>
          <w:color w:val="2E74B5" w:themeColor="accent5" w:themeShade="BF"/>
        </w:rPr>
        <w:t>18</w:t>
      </w:r>
      <w:r w:rsidR="001B54DD" w:rsidRPr="001B54DD">
        <w:t>]. С помощью VAS по шкале от 0 до 10 измерялась боль в туловище и нижних конечностях, усиливающаяся при повседневной активности. Пациентов просили поставить отметку на линии для указания уровня боли (0 говорит об отсутствии боли, а 10 - о самой сильной боли [</w:t>
      </w:r>
      <w:r w:rsidR="001B54DD" w:rsidRPr="001B54DD">
        <w:rPr>
          <w:color w:val="2E74B5" w:themeColor="accent5" w:themeShade="BF"/>
        </w:rPr>
        <w:t>19</w:t>
      </w:r>
      <w:r w:rsidR="001B54DD" w:rsidRPr="001B54DD">
        <w:t>]).</w:t>
      </w:r>
    </w:p>
    <w:p w:rsidR="00865D07" w:rsidRDefault="00865D07" w:rsidP="007C0C20">
      <w:pPr>
        <w:spacing w:after="0"/>
        <w:contextualSpacing/>
        <w:jc w:val="both"/>
      </w:pPr>
    </w:p>
    <w:p w:rsidR="00865D07" w:rsidRDefault="00865D07" w:rsidP="007C0C20">
      <w:pPr>
        <w:spacing w:after="0"/>
        <w:contextualSpacing/>
        <w:jc w:val="both"/>
        <w:rPr>
          <w:i/>
        </w:rPr>
      </w:pPr>
      <w:r w:rsidRPr="00865D07">
        <w:rPr>
          <w:i/>
        </w:rPr>
        <w:t>2.4. Морфологические изменения степени тяжести заболевания шейного диска</w:t>
      </w:r>
    </w:p>
    <w:p w:rsidR="00865D07" w:rsidRDefault="00470BC5" w:rsidP="007C0C20">
      <w:pPr>
        <w:spacing w:after="0"/>
        <w:contextualSpacing/>
        <w:jc w:val="both"/>
      </w:pPr>
      <w:r>
        <w:t xml:space="preserve">2.4.1 </w:t>
      </w:r>
      <w:proofErr w:type="spellStart"/>
      <w:r>
        <w:t>Лордотический</w:t>
      </w:r>
      <w:proofErr w:type="spellEnd"/>
      <w:r>
        <w:t xml:space="preserve"> изгиб шей</w:t>
      </w:r>
    </w:p>
    <w:p w:rsidR="002C0127" w:rsidRDefault="002C0127" w:rsidP="007C0C20">
      <w:pPr>
        <w:spacing w:after="0"/>
        <w:contextualSpacing/>
        <w:jc w:val="both"/>
      </w:pPr>
      <w:r w:rsidRPr="002C0127">
        <w:lastRenderedPageBreak/>
        <w:t xml:space="preserve">Как показано на рисунке 2, угол по </w:t>
      </w:r>
      <w:proofErr w:type="spellStart"/>
      <w:r w:rsidRPr="002C0127">
        <w:t>Коббу</w:t>
      </w:r>
      <w:proofErr w:type="spellEnd"/>
      <w:r w:rsidRPr="002C0127">
        <w:t xml:space="preserve"> был рассчитан путем измерения угла между верхней границей позвонка С2 и нижней границей позвонка С7 в нейтральном положении на рентгеновском снимке шейного отдела позвоночника в боковой проекции.</w:t>
      </w:r>
    </w:p>
    <w:p w:rsidR="009F637D" w:rsidRDefault="009F637D" w:rsidP="009F637D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987040" cy="2781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C5" w:rsidRDefault="00470BC5" w:rsidP="007C0C20">
      <w:pPr>
        <w:spacing w:after="0"/>
        <w:contextualSpacing/>
        <w:jc w:val="both"/>
      </w:pPr>
    </w:p>
    <w:p w:rsidR="009F637D" w:rsidRDefault="00F34E0F" w:rsidP="00F34E0F">
      <w:pPr>
        <w:spacing w:after="0"/>
        <w:contextualSpacing/>
        <w:jc w:val="center"/>
      </w:pPr>
      <w:r w:rsidRPr="00F34E0F">
        <w:rPr>
          <w:b/>
        </w:rPr>
        <w:t>Рисунок. 2</w:t>
      </w:r>
      <w:r w:rsidRPr="00F34E0F">
        <w:t xml:space="preserve">. Угол по </w:t>
      </w:r>
      <w:proofErr w:type="spellStart"/>
      <w:r w:rsidRPr="00F34E0F">
        <w:t>Коббу</w:t>
      </w:r>
      <w:proofErr w:type="spellEnd"/>
      <w:r w:rsidRPr="00F34E0F">
        <w:t xml:space="preserve"> шейной </w:t>
      </w:r>
      <w:proofErr w:type="spellStart"/>
      <w:r w:rsidRPr="00F34E0F">
        <w:t>лордотического</w:t>
      </w:r>
      <w:proofErr w:type="spellEnd"/>
      <w:r w:rsidRPr="00F34E0F">
        <w:t xml:space="preserve"> изгиба.</w:t>
      </w:r>
    </w:p>
    <w:p w:rsidR="00EF6893" w:rsidRDefault="00EF6893" w:rsidP="00F34E0F">
      <w:pPr>
        <w:spacing w:after="0"/>
        <w:contextualSpacing/>
      </w:pPr>
    </w:p>
    <w:p w:rsidR="00F34E0F" w:rsidRDefault="00EF6893" w:rsidP="00F34E0F">
      <w:pPr>
        <w:spacing w:after="0"/>
        <w:contextualSpacing/>
      </w:pPr>
      <w:r w:rsidRPr="00EF6893">
        <w:t xml:space="preserve">2.4.2. Оценка </w:t>
      </w:r>
      <w:r w:rsidR="00463B8A">
        <w:t>площади</w:t>
      </w:r>
      <w:r w:rsidRPr="00EF6893">
        <w:t xml:space="preserve"> центрального канала</w:t>
      </w:r>
    </w:p>
    <w:p w:rsidR="00642250" w:rsidRDefault="007659B3" w:rsidP="00642250">
      <w:pPr>
        <w:spacing w:after="0"/>
        <w:contextualSpacing/>
        <w:jc w:val="both"/>
      </w:pPr>
      <w:r w:rsidRPr="007659B3">
        <w:t xml:space="preserve">В исследовании оценивались изменения </w:t>
      </w:r>
      <w:r w:rsidR="00463B8A">
        <w:t>площади</w:t>
      </w:r>
      <w:r w:rsidRPr="007659B3">
        <w:t xml:space="preserve"> центрального канала шейного отдела до и после </w:t>
      </w:r>
      <w:proofErr w:type="spellStart"/>
      <w:r w:rsidRPr="007659B3">
        <w:t>тракции</w:t>
      </w:r>
      <w:proofErr w:type="spellEnd"/>
      <w:r w:rsidRPr="007659B3">
        <w:t xml:space="preserve"> шеи. Для измерений использовались T2-вз</w:t>
      </w:r>
      <w:r w:rsidR="00F93608">
        <w:t>вешенные изображения, аксиальное изображение</w:t>
      </w:r>
      <w:r w:rsidRPr="007659B3">
        <w:t xml:space="preserve"> с наибольшей высотой </w:t>
      </w:r>
      <w:r w:rsidR="004C5C52">
        <w:t xml:space="preserve">подъёма </w:t>
      </w:r>
      <w:r w:rsidRPr="007659B3">
        <w:t xml:space="preserve">диска, связанной с наибольшей неврологической компрессией. В этом исследовании был выбран межпозвоночный сегмент C5-С6. Цифровое измерение </w:t>
      </w:r>
      <w:r w:rsidR="00463B8A">
        <w:t>площади</w:t>
      </w:r>
      <w:r w:rsidRPr="007659B3">
        <w:t xml:space="preserve"> центрального канала было выполнено с помощью трассировки области поперечного сечения твердой мозговой оболочки на аксиальном МРТ снимке на уровне сегмента C5-С6 (Рисунок 3). Измерения проводил рентгенолог с применением слепого метода. Опы</w:t>
      </w:r>
      <w:r w:rsidR="004C5C52">
        <w:t>т работы рентгенолога составлял</w:t>
      </w:r>
      <w:r w:rsidRPr="007659B3">
        <w:t xml:space="preserve"> более 10 лет. Каждое измерение повторялось трижды одним и тем же рентгенологом для повышения повторяемости результатов.</w:t>
      </w:r>
    </w:p>
    <w:p w:rsidR="004C5C52" w:rsidRDefault="004C5C52" w:rsidP="00642250">
      <w:pPr>
        <w:spacing w:after="0"/>
        <w:contextualSpacing/>
        <w:jc w:val="both"/>
      </w:pPr>
    </w:p>
    <w:p w:rsidR="00A066E1" w:rsidRDefault="00A066E1" w:rsidP="00A066E1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987040" cy="296117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E1" w:rsidRDefault="00A066E1" w:rsidP="00A066E1">
      <w:pPr>
        <w:spacing w:after="0"/>
        <w:contextualSpacing/>
        <w:jc w:val="center"/>
      </w:pPr>
      <w:r w:rsidRPr="00A066E1">
        <w:rPr>
          <w:b/>
        </w:rPr>
        <w:t>Рисунок 3</w:t>
      </w:r>
      <w:r w:rsidRPr="00A066E1">
        <w:t xml:space="preserve">. </w:t>
      </w:r>
      <w:r w:rsidR="00463B8A">
        <w:t>Площадь</w:t>
      </w:r>
      <w:r w:rsidRPr="00A066E1">
        <w:t xml:space="preserve"> центрального канала в аксиальной проекции МРТ шейного отдела позвоночника.</w:t>
      </w:r>
    </w:p>
    <w:p w:rsidR="00A066E1" w:rsidRDefault="00A066E1" w:rsidP="00A066E1">
      <w:pPr>
        <w:spacing w:after="0"/>
        <w:contextualSpacing/>
      </w:pPr>
    </w:p>
    <w:p w:rsidR="00A066E1" w:rsidRDefault="00141043" w:rsidP="00141043">
      <w:pPr>
        <w:spacing w:after="0"/>
        <w:contextualSpacing/>
        <w:jc w:val="both"/>
      </w:pPr>
      <w:r w:rsidRPr="00141043">
        <w:lastRenderedPageBreak/>
        <w:t>Оценка боли (VAS), функции (ODI) и морфологии (рентгенография и МРТ шейного отдела позвоночника) проводились за двое суток до первого лечебного сеанса и после последнего сеанса.</w:t>
      </w:r>
    </w:p>
    <w:p w:rsidR="00E0363D" w:rsidRPr="00E0363D" w:rsidRDefault="00E0363D" w:rsidP="00141043">
      <w:pPr>
        <w:spacing w:after="0"/>
        <w:contextualSpacing/>
        <w:jc w:val="both"/>
        <w:rPr>
          <w:i/>
        </w:rPr>
      </w:pPr>
    </w:p>
    <w:p w:rsidR="00E0363D" w:rsidRDefault="00E0363D" w:rsidP="00141043">
      <w:pPr>
        <w:spacing w:after="0"/>
        <w:contextualSpacing/>
        <w:jc w:val="both"/>
        <w:rPr>
          <w:i/>
        </w:rPr>
      </w:pPr>
      <w:r w:rsidRPr="00E0363D">
        <w:rPr>
          <w:i/>
        </w:rPr>
        <w:t>2.5. Статистический анализ: определение размера выборки</w:t>
      </w:r>
    </w:p>
    <w:p w:rsidR="00E0363D" w:rsidRDefault="009040E8" w:rsidP="00141043">
      <w:pPr>
        <w:spacing w:after="0"/>
        <w:contextualSpacing/>
        <w:jc w:val="both"/>
      </w:pPr>
      <w:r w:rsidRPr="009040E8">
        <w:t xml:space="preserve">Предварительные вычисления показали, что из каждой группы требовались 18 пациентов для выявления различий в болях в шейном отделе при мощности 80% и значимости 5%. Был проведен двусторонний тест с ожидаемой величиной эффекта d = 0,8 на основе пилотного исследования </w:t>
      </w:r>
      <w:r w:rsidR="004C5C52">
        <w:t>десяти</w:t>
      </w:r>
      <w:r w:rsidRPr="009040E8">
        <w:t xml:space="preserve"> пациентов, которые проходили такую же терапию в период с 1 ноября 2017 г. по 28 января 2018 г. Данные были проанализированы</w:t>
      </w:r>
      <w:r w:rsidR="00AE3795">
        <w:t xml:space="preserve"> с использованием парного t-критерия и независимого t-критерия</w:t>
      </w:r>
      <w:r w:rsidRPr="009040E8">
        <w:t xml:space="preserve">. Уровень значимости был установлен на уровне p &lt;0,05. Для всех статистических анализов использовалось программное обеспечение SPSS вер. 22,0 (IBM </w:t>
      </w:r>
      <w:proofErr w:type="spellStart"/>
      <w:r w:rsidRPr="009040E8">
        <w:t>Corp</w:t>
      </w:r>
      <w:proofErr w:type="spellEnd"/>
      <w:r w:rsidRPr="009040E8">
        <w:t xml:space="preserve">., </w:t>
      </w:r>
      <w:proofErr w:type="spellStart"/>
      <w:r w:rsidRPr="009040E8">
        <w:t>Армонк</w:t>
      </w:r>
      <w:proofErr w:type="spellEnd"/>
      <w:r w:rsidRPr="009040E8">
        <w:t>, Нью-Йорк, США).</w:t>
      </w:r>
    </w:p>
    <w:p w:rsidR="009040E8" w:rsidRDefault="009040E8" w:rsidP="00141043">
      <w:pPr>
        <w:spacing w:after="0"/>
        <w:contextualSpacing/>
        <w:jc w:val="both"/>
      </w:pPr>
    </w:p>
    <w:p w:rsidR="009040E8" w:rsidRPr="009040E8" w:rsidRDefault="009040E8" w:rsidP="00141043">
      <w:pPr>
        <w:spacing w:after="0"/>
        <w:contextualSpacing/>
        <w:jc w:val="both"/>
        <w:rPr>
          <w:b/>
        </w:rPr>
      </w:pPr>
      <w:r w:rsidRPr="009040E8">
        <w:rPr>
          <w:b/>
        </w:rPr>
        <w:t>3. Результаты</w:t>
      </w:r>
    </w:p>
    <w:p w:rsidR="009040E8" w:rsidRDefault="003023A1" w:rsidP="00141043">
      <w:pPr>
        <w:spacing w:after="0"/>
        <w:contextualSpacing/>
        <w:jc w:val="both"/>
      </w:pPr>
      <w:r w:rsidRPr="003023A1">
        <w:t xml:space="preserve">Демографические данные пациентов представлены в таблице 1. Все </w:t>
      </w:r>
      <w:r w:rsidR="004C5C52">
        <w:t xml:space="preserve">участники </w:t>
      </w:r>
      <w:r w:rsidR="004C5C52" w:rsidRPr="003023A1">
        <w:t>без исключения</w:t>
      </w:r>
      <w:r w:rsidR="004C5C52">
        <w:t xml:space="preserve"> завершили исследование</w:t>
      </w:r>
      <w:r w:rsidRPr="003023A1">
        <w:t>. В группы C-LCCT и TT вошли соответственно 13 женщин и 7 мужчин (средний возраст</w:t>
      </w:r>
      <w:r w:rsidR="004C5C52">
        <w:t xml:space="preserve"> </w:t>
      </w:r>
      <w:r w:rsidRPr="003023A1">
        <w:t>48,8 ± 13,3) и 15 женщин и 5 мужчин (средний возраст 43,2</w:t>
      </w:r>
      <w:r w:rsidR="00AE3795">
        <w:t xml:space="preserve"> ± 16,2). </w:t>
      </w:r>
      <w:proofErr w:type="spellStart"/>
      <w:r w:rsidR="00AE3795">
        <w:t>Двухвыборочные</w:t>
      </w:r>
      <w:proofErr w:type="spellEnd"/>
      <w:r w:rsidR="00AE3795">
        <w:t xml:space="preserve"> t-критерии</w:t>
      </w:r>
      <w:r w:rsidRPr="003023A1">
        <w:t xml:space="preserve"> не выявили статистически значимых различий между двумя группами по полу, возрасту, росту, весу, ИМТ, продолжительности боли в шее, VAS или ODI. В обоих группах не наблюдалось никаких значительных побочных эффектов или ухудшения симптомов.</w:t>
      </w:r>
    </w:p>
    <w:p w:rsidR="001A78C9" w:rsidRDefault="001A78C9" w:rsidP="00141043">
      <w:pPr>
        <w:spacing w:after="0"/>
        <w:contextualSpacing/>
        <w:jc w:val="both"/>
      </w:pPr>
    </w:p>
    <w:p w:rsidR="009040E8" w:rsidRDefault="001A78C9" w:rsidP="001A78C9">
      <w:pPr>
        <w:spacing w:after="0"/>
        <w:contextualSpacing/>
        <w:jc w:val="center"/>
      </w:pPr>
      <w:r w:rsidRPr="001A78C9">
        <w:rPr>
          <w:b/>
        </w:rPr>
        <w:t>Таблица 1</w:t>
      </w:r>
      <w:r w:rsidRPr="001A78C9">
        <w:t>. Демографические характеристики участников.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1357"/>
        <w:gridCol w:w="1410"/>
        <w:gridCol w:w="1116"/>
        <w:gridCol w:w="1172"/>
      </w:tblGrid>
      <w:tr w:rsidR="0096250D" w:rsidRPr="0096250D" w:rsidTr="0096250D">
        <w:trPr>
          <w:jc w:val="center"/>
        </w:trPr>
        <w:tc>
          <w:tcPr>
            <w:tcW w:w="0" w:type="auto"/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Переменные</w:t>
            </w:r>
          </w:p>
        </w:tc>
        <w:tc>
          <w:tcPr>
            <w:tcW w:w="1357" w:type="dxa"/>
            <w:vAlign w:val="center"/>
          </w:tcPr>
          <w:p w:rsidR="00B01A69" w:rsidRPr="0096250D" w:rsidRDefault="000B4722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В целом</w:t>
            </w:r>
            <w:r w:rsidR="00B01A69" w:rsidRPr="0096250D">
              <w:rPr>
                <w:sz w:val="20"/>
                <w:szCs w:val="20"/>
              </w:rPr>
              <w:t xml:space="preserve"> </w:t>
            </w:r>
          </w:p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(40 чел.)</w:t>
            </w:r>
          </w:p>
        </w:tc>
        <w:tc>
          <w:tcPr>
            <w:tcW w:w="0" w:type="auto"/>
            <w:vAlign w:val="center"/>
          </w:tcPr>
          <w:p w:rsidR="00342674" w:rsidRPr="0096250D" w:rsidRDefault="000B4722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Группа C-LCCT</w:t>
            </w:r>
          </w:p>
          <w:p w:rsidR="00B01A69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(20 чел.)</w:t>
            </w:r>
          </w:p>
        </w:tc>
        <w:tc>
          <w:tcPr>
            <w:tcW w:w="0" w:type="auto"/>
            <w:vAlign w:val="center"/>
          </w:tcPr>
          <w:p w:rsidR="00342674" w:rsidRPr="0096250D" w:rsidRDefault="000B4722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Группа TT</w:t>
            </w:r>
          </w:p>
          <w:p w:rsidR="00B01A69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(20 чел.)</w:t>
            </w:r>
          </w:p>
        </w:tc>
        <w:tc>
          <w:tcPr>
            <w:tcW w:w="0" w:type="auto"/>
            <w:vAlign w:val="center"/>
          </w:tcPr>
          <w:p w:rsidR="00342674" w:rsidRPr="0096250D" w:rsidRDefault="000B4722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96250D" w:rsidRPr="0096250D" w:rsidTr="0096250D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Возраст, лет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46 ± 14.6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48.8 ± 13.3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43.2 ± 16.2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0.684</w:t>
            </w:r>
          </w:p>
        </w:tc>
      </w:tr>
      <w:tr w:rsidR="0096250D" w:rsidRPr="0096250D" w:rsidTr="0096250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Рост, см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165.0 ± 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163.6 ± 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167.6 ± 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0.628</w:t>
            </w:r>
          </w:p>
        </w:tc>
      </w:tr>
      <w:tr w:rsidR="0096250D" w:rsidRPr="0096250D" w:rsidTr="0096250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Вес, кг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63.3 ± 11.4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62.4 ± 11.2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64.9 ± 12.0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0.713</w:t>
            </w:r>
          </w:p>
        </w:tc>
      </w:tr>
      <w:tr w:rsidR="0096250D" w:rsidRPr="0096250D" w:rsidTr="0096250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ИМТ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23.1 ± 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23.2 ± 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23.0 ± 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0.669</w:t>
            </w:r>
          </w:p>
        </w:tc>
      </w:tr>
      <w:tr w:rsidR="0096250D" w:rsidRPr="0096250D" w:rsidTr="004C5C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Продолжительность боли в шее, мес.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15.5 ± 13.4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16.5 ± 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13.5 ± 15.1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0.541</w:t>
            </w:r>
          </w:p>
        </w:tc>
      </w:tr>
      <w:tr w:rsidR="0096250D" w:rsidRPr="0096250D" w:rsidTr="004C5C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6250D">
              <w:rPr>
                <w:sz w:val="20"/>
                <w:szCs w:val="20"/>
              </w:rPr>
              <w:t xml:space="preserve">Исходная </w:t>
            </w:r>
            <w:r w:rsidRPr="0096250D">
              <w:rPr>
                <w:sz w:val="20"/>
                <w:szCs w:val="20"/>
                <w:lang w:val="en-US"/>
              </w:rPr>
              <w:t>VAS</w:t>
            </w:r>
          </w:p>
        </w:tc>
        <w:tc>
          <w:tcPr>
            <w:tcW w:w="1357" w:type="dxa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6.7 ± 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6.8 ± 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7.0 ± 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0.852</w:t>
            </w:r>
          </w:p>
        </w:tc>
      </w:tr>
      <w:tr w:rsidR="00342674" w:rsidRPr="0096250D" w:rsidTr="004C5C52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342674" w:rsidRPr="0096250D" w:rsidRDefault="00342674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 xml:space="preserve">Исходный </w:t>
            </w:r>
            <w:r w:rsidRPr="0096250D">
              <w:rPr>
                <w:sz w:val="20"/>
                <w:szCs w:val="20"/>
                <w:lang w:val="en-US"/>
              </w:rPr>
              <w:t>ODI</w:t>
            </w:r>
            <w:r w:rsidRPr="0096250D">
              <w:rPr>
                <w:sz w:val="20"/>
                <w:szCs w:val="20"/>
              </w:rPr>
              <w:t>, %</w:t>
            </w:r>
          </w:p>
        </w:tc>
        <w:tc>
          <w:tcPr>
            <w:tcW w:w="1357" w:type="dxa"/>
            <w:tcBorders>
              <w:top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29.2±10.2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29.9 ± 15.7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28.5 ± 4.6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42674" w:rsidRPr="0096250D" w:rsidRDefault="00B01A69" w:rsidP="001A78C9">
            <w:pPr>
              <w:contextualSpacing/>
              <w:jc w:val="center"/>
              <w:rPr>
                <w:sz w:val="20"/>
                <w:szCs w:val="20"/>
              </w:rPr>
            </w:pPr>
            <w:r w:rsidRPr="0096250D">
              <w:rPr>
                <w:sz w:val="20"/>
                <w:szCs w:val="20"/>
              </w:rPr>
              <w:t>0.788</w:t>
            </w:r>
          </w:p>
        </w:tc>
      </w:tr>
    </w:tbl>
    <w:p w:rsidR="001E6AB1" w:rsidRDefault="001052B5" w:rsidP="001052B5">
      <w:pPr>
        <w:spacing w:after="0"/>
        <w:contextualSpacing/>
        <w:jc w:val="center"/>
        <w:rPr>
          <w:sz w:val="18"/>
          <w:szCs w:val="18"/>
        </w:rPr>
      </w:pPr>
      <w:r w:rsidRPr="001052B5">
        <w:rPr>
          <w:sz w:val="18"/>
          <w:szCs w:val="18"/>
        </w:rPr>
        <w:t xml:space="preserve">Все значения представляют собой среднее ± стандартное отклонение; </w:t>
      </w:r>
      <w:r w:rsidRPr="001052B5">
        <w:rPr>
          <w:sz w:val="18"/>
          <w:szCs w:val="18"/>
          <w:lang w:val="en-US"/>
        </w:rPr>
        <w:t>BMI</w:t>
      </w:r>
      <w:r w:rsidRPr="001052B5">
        <w:rPr>
          <w:sz w:val="18"/>
          <w:szCs w:val="18"/>
        </w:rPr>
        <w:t xml:space="preserve">: индекс массы тела; </w:t>
      </w:r>
      <w:r w:rsidRPr="001052B5">
        <w:rPr>
          <w:sz w:val="18"/>
          <w:szCs w:val="18"/>
          <w:lang w:val="en-US"/>
        </w:rPr>
        <w:t>VAS</w:t>
      </w:r>
      <w:r w:rsidRPr="001052B5">
        <w:rPr>
          <w:sz w:val="18"/>
          <w:szCs w:val="18"/>
        </w:rPr>
        <w:t xml:space="preserve">, визуальная аналоговая шкала (0 = нет боли; 10 = самая сильная боль); </w:t>
      </w:r>
      <w:r w:rsidRPr="001052B5">
        <w:rPr>
          <w:sz w:val="18"/>
          <w:szCs w:val="18"/>
          <w:lang w:val="en-US"/>
        </w:rPr>
        <w:t>ODI</w:t>
      </w:r>
      <w:r w:rsidRPr="001052B5">
        <w:rPr>
          <w:sz w:val="18"/>
          <w:szCs w:val="18"/>
        </w:rPr>
        <w:t>, индекс инвалидности Освестри (0 = нет инвалидности; 100 = максимально возможная инвалидность).</w:t>
      </w:r>
    </w:p>
    <w:p w:rsidR="0096250D" w:rsidRDefault="0096250D" w:rsidP="001052B5">
      <w:pPr>
        <w:spacing w:after="0"/>
        <w:contextualSpacing/>
        <w:jc w:val="center"/>
        <w:rPr>
          <w:sz w:val="18"/>
          <w:szCs w:val="18"/>
        </w:rPr>
      </w:pPr>
    </w:p>
    <w:p w:rsidR="00BC6FE8" w:rsidRDefault="00BC6FE8" w:rsidP="00BC6FE8">
      <w:pPr>
        <w:spacing w:after="0"/>
        <w:contextualSpacing/>
        <w:rPr>
          <w:sz w:val="18"/>
          <w:szCs w:val="18"/>
        </w:rPr>
      </w:pPr>
      <w:r w:rsidRPr="005A21FC">
        <w:rPr>
          <w:i/>
        </w:rPr>
        <w:t>3.</w:t>
      </w:r>
      <w:r>
        <w:rPr>
          <w:i/>
        </w:rPr>
        <w:t>1</w:t>
      </w:r>
      <w:r w:rsidRPr="005A21FC">
        <w:rPr>
          <w:i/>
        </w:rPr>
        <w:t>. Измерени</w:t>
      </w:r>
      <w:r>
        <w:rPr>
          <w:i/>
        </w:rPr>
        <w:t>е боли и функционального со</w:t>
      </w:r>
      <w:r w:rsidR="00927AFC">
        <w:rPr>
          <w:i/>
        </w:rPr>
        <w:t>с</w:t>
      </w:r>
      <w:r>
        <w:rPr>
          <w:i/>
        </w:rPr>
        <w:t>тояния</w:t>
      </w:r>
    </w:p>
    <w:p w:rsidR="0096250D" w:rsidRDefault="00280C92" w:rsidP="00280C92">
      <w:pPr>
        <w:spacing w:after="0"/>
        <w:contextualSpacing/>
        <w:jc w:val="both"/>
      </w:pPr>
      <w:r w:rsidRPr="00280C92">
        <w:t>Боль и функциональные изменения представлены в таблице 2. После 15 сеансов лечения ковариационный анализ выявил значительную разницу между группами C-LCCT и TT. При измерении боли и функционального состояния, группа C-LCCT показала лучшие результаты по сравнению с группой TT. Обе группы показали значительное снижение боли по VAS. Изменения ODI были значительно выше в группе C-LCCT. Значительных изменений ODI в группе TT не наблюдалось.</w:t>
      </w:r>
    </w:p>
    <w:p w:rsidR="003F48BF" w:rsidRDefault="003F48BF" w:rsidP="00280C92">
      <w:pPr>
        <w:spacing w:after="0"/>
        <w:contextualSpacing/>
        <w:jc w:val="both"/>
      </w:pPr>
    </w:p>
    <w:p w:rsidR="003F48BF" w:rsidRDefault="003F48BF" w:rsidP="003F48BF">
      <w:pPr>
        <w:spacing w:after="0"/>
        <w:contextualSpacing/>
        <w:jc w:val="center"/>
      </w:pPr>
      <w:r w:rsidRPr="003F48BF">
        <w:rPr>
          <w:b/>
        </w:rPr>
        <w:t>Таблица 2.</w:t>
      </w:r>
      <w:r w:rsidRPr="003F48BF">
        <w:t xml:space="preserve"> Болевые и функциональные оценки в группе C-LCCT по сравнению с группой TT.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317"/>
        <w:gridCol w:w="1609"/>
        <w:gridCol w:w="1172"/>
      </w:tblGrid>
      <w:tr w:rsidR="003F48BF" w:rsidTr="00855E20">
        <w:trPr>
          <w:jc w:val="center"/>
        </w:trPr>
        <w:tc>
          <w:tcPr>
            <w:tcW w:w="0" w:type="auto"/>
          </w:tcPr>
          <w:p w:rsidR="003F48BF" w:rsidRDefault="003F48BF" w:rsidP="003F48BF">
            <w:pPr>
              <w:contextualSpacing/>
              <w:jc w:val="center"/>
            </w:pPr>
            <w:r>
              <w:t>Переменные</w:t>
            </w:r>
          </w:p>
        </w:tc>
        <w:tc>
          <w:tcPr>
            <w:tcW w:w="0" w:type="auto"/>
          </w:tcPr>
          <w:p w:rsidR="003F48BF" w:rsidRDefault="003F48BF" w:rsidP="003F48BF">
            <w:pPr>
              <w:contextualSpacing/>
              <w:jc w:val="center"/>
            </w:pPr>
            <w:r>
              <w:t>До лечения</w:t>
            </w:r>
          </w:p>
        </w:tc>
        <w:tc>
          <w:tcPr>
            <w:tcW w:w="0" w:type="auto"/>
          </w:tcPr>
          <w:p w:rsidR="003F48BF" w:rsidRDefault="003F48BF" w:rsidP="003F48BF">
            <w:pPr>
              <w:contextualSpacing/>
              <w:jc w:val="center"/>
            </w:pPr>
            <w:r>
              <w:t>После лечения</w:t>
            </w:r>
          </w:p>
        </w:tc>
        <w:tc>
          <w:tcPr>
            <w:tcW w:w="0" w:type="auto"/>
          </w:tcPr>
          <w:p w:rsidR="003F48BF" w:rsidRDefault="003F48BF" w:rsidP="003F48BF">
            <w:pPr>
              <w:contextualSpacing/>
              <w:jc w:val="center"/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F48BF" w:rsidRPr="003F48BF" w:rsidRDefault="003F48BF" w:rsidP="003F48BF">
            <w:pPr>
              <w:contextualSpacing/>
            </w:pPr>
            <w:r>
              <w:rPr>
                <w:lang w:val="en-US"/>
              </w:rPr>
              <w:t>A</w:t>
            </w:r>
            <w:r>
              <w:t>. Группа C-LCCT</w:t>
            </w: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6.78 ± 0.8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3.33 ± 0.8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&lt;0.001 *</w:t>
            </w: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29.85 ± 15.6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20.15 ± 11.8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0.003 *</w:t>
            </w: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F48BF" w:rsidRPr="003F48BF" w:rsidRDefault="003F48BF" w:rsidP="003F48BF">
            <w:pPr>
              <w:contextualSpacing/>
            </w:pPr>
            <w:r>
              <w:t>В. Группа ТТ</w:t>
            </w: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7.0 ± 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4.27 ± 0.9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0.006 *</w:t>
            </w:r>
          </w:p>
        </w:tc>
      </w:tr>
      <w:tr w:rsidR="003F48BF" w:rsidTr="00855E20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28.48 ± 4.6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Default="003F48BF" w:rsidP="003F48BF">
            <w:pPr>
              <w:contextualSpacing/>
              <w:jc w:val="center"/>
            </w:pPr>
            <w:r>
              <w:t>26.87 ± 11.1</w:t>
            </w:r>
          </w:p>
        </w:tc>
        <w:tc>
          <w:tcPr>
            <w:tcW w:w="0" w:type="auto"/>
            <w:tcBorders>
              <w:top w:val="nil"/>
            </w:tcBorders>
          </w:tcPr>
          <w:p w:rsidR="003F48BF" w:rsidRPr="00855E20" w:rsidRDefault="003F48BF" w:rsidP="003F48BF">
            <w:pPr>
              <w:contextualSpacing/>
              <w:jc w:val="center"/>
              <w:rPr>
                <w:lang w:val="en-US"/>
              </w:rPr>
            </w:pPr>
            <w:r>
              <w:t>0.470</w:t>
            </w:r>
          </w:p>
        </w:tc>
      </w:tr>
    </w:tbl>
    <w:p w:rsidR="003F48BF" w:rsidRDefault="00855E20" w:rsidP="003F48BF">
      <w:pPr>
        <w:spacing w:after="0"/>
        <w:contextualSpacing/>
        <w:jc w:val="center"/>
        <w:rPr>
          <w:sz w:val="18"/>
          <w:szCs w:val="18"/>
        </w:rPr>
      </w:pPr>
      <w:r w:rsidRPr="00855E20">
        <w:rPr>
          <w:sz w:val="18"/>
          <w:szCs w:val="18"/>
        </w:rPr>
        <w:t>Все значения представляют собой среднее ± стандартное отклонение; VAS, визуальная аналоговая шкала (0 = нет боли; 10 = самая сильная боль); ODI, индекс инвалидности Освестри (0 = нет инвалидности; 100 = максимально возможная инвалидность); * р &lt;0,05.</w:t>
      </w:r>
    </w:p>
    <w:p w:rsidR="00463B8A" w:rsidRDefault="00463B8A" w:rsidP="003F48BF">
      <w:pPr>
        <w:spacing w:after="0"/>
        <w:contextualSpacing/>
        <w:jc w:val="center"/>
        <w:rPr>
          <w:sz w:val="18"/>
          <w:szCs w:val="18"/>
        </w:rPr>
      </w:pPr>
    </w:p>
    <w:p w:rsidR="00463B8A" w:rsidRDefault="005A21FC" w:rsidP="00463B8A">
      <w:pPr>
        <w:spacing w:after="0"/>
        <w:contextualSpacing/>
        <w:rPr>
          <w:i/>
        </w:rPr>
      </w:pPr>
      <w:r w:rsidRPr="005A21FC">
        <w:rPr>
          <w:i/>
        </w:rPr>
        <w:t xml:space="preserve">3.2. Измерения морфологических изменений: угла </w:t>
      </w:r>
      <w:proofErr w:type="spellStart"/>
      <w:r w:rsidRPr="005A21FC">
        <w:rPr>
          <w:i/>
        </w:rPr>
        <w:t>Кобба</w:t>
      </w:r>
      <w:proofErr w:type="spellEnd"/>
      <w:r w:rsidRPr="005A21FC">
        <w:rPr>
          <w:i/>
        </w:rPr>
        <w:t xml:space="preserve"> и площади центрального канала</w:t>
      </w:r>
    </w:p>
    <w:p w:rsidR="005A21FC" w:rsidRDefault="00AA268C" w:rsidP="00AA268C">
      <w:pPr>
        <w:spacing w:after="0"/>
        <w:contextualSpacing/>
        <w:jc w:val="both"/>
      </w:pPr>
      <w:r w:rsidRPr="00AA268C">
        <w:lastRenderedPageBreak/>
        <w:t xml:space="preserve">Морфологические изменения после лечения показаны в таблице 3. После лечения в группе C-LCCT у пациентов угол </w:t>
      </w:r>
      <w:proofErr w:type="spellStart"/>
      <w:r w:rsidRPr="00AA268C">
        <w:t>Кобба</w:t>
      </w:r>
      <w:proofErr w:type="spellEnd"/>
      <w:r w:rsidRPr="00AA268C">
        <w:t xml:space="preserve"> по сегменту C2-С7 увеличился значительно (4,8 ° ± 10,9 и 16,9 ° ± 12,7, до и после лечения, соответственно). И наоборот, пациенты из группы T</w:t>
      </w:r>
      <w:r w:rsidR="00927AFC">
        <w:t>T не показали</w:t>
      </w:r>
      <w:r w:rsidRPr="00AA268C">
        <w:t xml:space="preserve"> значительного изменения угла </w:t>
      </w:r>
      <w:proofErr w:type="spellStart"/>
      <w:r w:rsidRPr="00AA268C">
        <w:t>Кобба</w:t>
      </w:r>
      <w:proofErr w:type="spellEnd"/>
      <w:r w:rsidRPr="00AA268C">
        <w:t xml:space="preserve"> по сегменту С2-С7 после лечения (5,2 ° ± 8,6, 4,9 ° ± 9,8). Скорее, немного уменьшился шейный лордоз. Изменение площади центрального канала на МРТ шейного отдела позвоночника было значительно больше у пациентов из группы C-LCCT (р &lt;0,01). Значительных изменений в площади центрального канала в группе ТТ после лечения не наблюдалось (p&gt; 0,05).</w:t>
      </w:r>
    </w:p>
    <w:p w:rsidR="006703B6" w:rsidRDefault="006703B6" w:rsidP="00AA268C">
      <w:pPr>
        <w:spacing w:after="0"/>
        <w:contextualSpacing/>
        <w:jc w:val="both"/>
      </w:pPr>
    </w:p>
    <w:p w:rsidR="006703B6" w:rsidRDefault="006703B6" w:rsidP="00F74960">
      <w:pPr>
        <w:spacing w:after="0"/>
        <w:contextualSpacing/>
        <w:jc w:val="center"/>
      </w:pPr>
      <w:r w:rsidRPr="006703B6">
        <w:rPr>
          <w:b/>
        </w:rPr>
        <w:t>Таблица 3</w:t>
      </w:r>
      <w:r w:rsidRPr="006703B6">
        <w:t xml:space="preserve">. Морфологические изменения (угол </w:t>
      </w:r>
      <w:proofErr w:type="spellStart"/>
      <w:r w:rsidRPr="006703B6">
        <w:t>Кобба</w:t>
      </w:r>
      <w:proofErr w:type="spellEnd"/>
      <w:r w:rsidRPr="006703B6">
        <w:t xml:space="preserve"> и площадь центрального канала) в группе C-LCCT по сравнению с группой TT.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317"/>
        <w:gridCol w:w="1609"/>
        <w:gridCol w:w="1172"/>
      </w:tblGrid>
      <w:tr w:rsidR="00F74960" w:rsidTr="00274E90">
        <w:trPr>
          <w:jc w:val="center"/>
        </w:trPr>
        <w:tc>
          <w:tcPr>
            <w:tcW w:w="0" w:type="auto"/>
          </w:tcPr>
          <w:p w:rsidR="00F74960" w:rsidRDefault="00F74960" w:rsidP="00274E90">
            <w:pPr>
              <w:contextualSpacing/>
              <w:jc w:val="center"/>
            </w:pPr>
            <w:r>
              <w:t>Переменные</w:t>
            </w:r>
          </w:p>
        </w:tc>
        <w:tc>
          <w:tcPr>
            <w:tcW w:w="0" w:type="auto"/>
          </w:tcPr>
          <w:p w:rsidR="00F74960" w:rsidRDefault="00F74960" w:rsidP="00274E90">
            <w:pPr>
              <w:contextualSpacing/>
              <w:jc w:val="center"/>
            </w:pPr>
            <w:r>
              <w:t>До лечения</w:t>
            </w:r>
          </w:p>
        </w:tc>
        <w:tc>
          <w:tcPr>
            <w:tcW w:w="0" w:type="auto"/>
          </w:tcPr>
          <w:p w:rsidR="00F74960" w:rsidRDefault="00F74960" w:rsidP="00274E90">
            <w:pPr>
              <w:contextualSpacing/>
              <w:jc w:val="center"/>
            </w:pPr>
            <w:r>
              <w:t>После лечения</w:t>
            </w:r>
          </w:p>
        </w:tc>
        <w:tc>
          <w:tcPr>
            <w:tcW w:w="0" w:type="auto"/>
          </w:tcPr>
          <w:p w:rsidR="00F74960" w:rsidRDefault="00F74960" w:rsidP="00274E90">
            <w:pPr>
              <w:contextualSpacing/>
              <w:jc w:val="center"/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74960" w:rsidRPr="003F48BF" w:rsidRDefault="00F74960" w:rsidP="00274E90">
            <w:pPr>
              <w:contextualSpacing/>
            </w:pPr>
            <w:r>
              <w:rPr>
                <w:lang w:val="en-US"/>
              </w:rPr>
              <w:t>A</w:t>
            </w:r>
            <w:r>
              <w:t>. Группа C-LCCT</w:t>
            </w: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 xml:space="preserve">Угол </w:t>
            </w:r>
            <w:proofErr w:type="spellStart"/>
            <w:r>
              <w:t>Кобба</w:t>
            </w:r>
            <w:proofErr w:type="spellEnd"/>
            <w:r>
              <w:t xml:space="preserve"> по сегменту С2-С7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4.8 ± 10.9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16.9 ± 12.7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&lt;0.001 *</w:t>
            </w: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Площадь центрального канала, мм</w:t>
            </w:r>
            <w:r w:rsidRPr="00F74960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130.9 ± 40.5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136.0 ± 43.2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Default="00F74960" w:rsidP="00274E90">
            <w:pPr>
              <w:contextualSpacing/>
              <w:jc w:val="center"/>
            </w:pPr>
            <w:r>
              <w:t>&lt;0.001 *</w:t>
            </w: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74960" w:rsidRPr="003F48BF" w:rsidRDefault="00F74960" w:rsidP="00274E90">
            <w:pPr>
              <w:contextualSpacing/>
            </w:pPr>
            <w:r>
              <w:t>В. Группа ТТ</w:t>
            </w: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F74960" w:rsidRDefault="00F74960" w:rsidP="00274E90">
            <w:pPr>
              <w:contextualSpacing/>
              <w:jc w:val="center"/>
            </w:pP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 xml:space="preserve">Угол </w:t>
            </w:r>
            <w:proofErr w:type="spellStart"/>
            <w:r>
              <w:t>Кобба</w:t>
            </w:r>
            <w:proofErr w:type="spellEnd"/>
            <w:r>
              <w:t xml:space="preserve"> по сегменту С2-С7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5.2 ± 8.6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4.9 ± 9.8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0.781</w:t>
            </w:r>
          </w:p>
        </w:tc>
      </w:tr>
      <w:tr w:rsidR="00F74960" w:rsidTr="00274E90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Площадь центрального канала, мм</w:t>
            </w:r>
            <w:r w:rsidRPr="00F74960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137.9 ± 37.6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Default="00F74960" w:rsidP="00F74960">
            <w:pPr>
              <w:contextualSpacing/>
              <w:jc w:val="center"/>
            </w:pPr>
            <w:r>
              <w:t>136.7 ± 41.4</w:t>
            </w:r>
          </w:p>
        </w:tc>
        <w:tc>
          <w:tcPr>
            <w:tcW w:w="0" w:type="auto"/>
            <w:tcBorders>
              <w:top w:val="nil"/>
            </w:tcBorders>
          </w:tcPr>
          <w:p w:rsidR="00F74960" w:rsidRPr="00855E20" w:rsidRDefault="00F74960" w:rsidP="00F74960">
            <w:pPr>
              <w:contextualSpacing/>
              <w:jc w:val="center"/>
              <w:rPr>
                <w:lang w:val="en-US"/>
              </w:rPr>
            </w:pPr>
            <w:r>
              <w:t>0.549</w:t>
            </w:r>
          </w:p>
        </w:tc>
      </w:tr>
    </w:tbl>
    <w:p w:rsidR="00F74960" w:rsidRDefault="00F74960" w:rsidP="00F74960">
      <w:pPr>
        <w:spacing w:after="0"/>
        <w:contextualSpacing/>
        <w:jc w:val="center"/>
        <w:rPr>
          <w:sz w:val="18"/>
          <w:szCs w:val="18"/>
        </w:rPr>
      </w:pPr>
      <w:r w:rsidRPr="00855E20">
        <w:rPr>
          <w:sz w:val="18"/>
          <w:szCs w:val="18"/>
        </w:rPr>
        <w:t>* р &lt;0,05</w:t>
      </w:r>
    </w:p>
    <w:p w:rsidR="003A2B30" w:rsidRDefault="003A2B30" w:rsidP="003A2B30">
      <w:pPr>
        <w:spacing w:after="0"/>
        <w:contextualSpacing/>
        <w:jc w:val="both"/>
      </w:pPr>
    </w:p>
    <w:p w:rsidR="00F74960" w:rsidRDefault="003A2B30" w:rsidP="003A2B30">
      <w:pPr>
        <w:spacing w:after="0"/>
        <w:contextualSpacing/>
        <w:jc w:val="both"/>
      </w:pPr>
      <w:r w:rsidRPr="003A2B30">
        <w:t>Обе группы показали значительное снижение боли. Однако изменения фу</w:t>
      </w:r>
      <w:r w:rsidR="00927AFC">
        <w:t xml:space="preserve">нкциональной оценки, угла </w:t>
      </w:r>
      <w:proofErr w:type="spellStart"/>
      <w:r w:rsidR="00927AFC">
        <w:t>Кобба</w:t>
      </w:r>
      <w:proofErr w:type="spellEnd"/>
      <w:r w:rsidRPr="003A2B30">
        <w:t>, площади центрального канала были значительно больше в группе C-LCCT, чем в группе ТТ (таблица 4).</w:t>
      </w:r>
    </w:p>
    <w:p w:rsidR="00540436" w:rsidRDefault="00540436" w:rsidP="003A2B30">
      <w:pPr>
        <w:spacing w:after="0"/>
        <w:contextualSpacing/>
        <w:jc w:val="both"/>
      </w:pPr>
    </w:p>
    <w:p w:rsidR="00540436" w:rsidRDefault="00540436" w:rsidP="00540436">
      <w:pPr>
        <w:spacing w:after="0"/>
        <w:contextualSpacing/>
        <w:jc w:val="center"/>
      </w:pPr>
      <w:r w:rsidRPr="00540436">
        <w:rPr>
          <w:b/>
        </w:rPr>
        <w:t>Таблица 4.</w:t>
      </w:r>
      <w:r w:rsidRPr="00540436">
        <w:t xml:space="preserve"> Сравнение изменений </w:t>
      </w:r>
      <w:r w:rsidR="00B7020D">
        <w:t>у пациентов групп</w:t>
      </w:r>
      <w:r w:rsidRPr="00540436">
        <w:t xml:space="preserve"> C-LCCT и TT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094"/>
        <w:gridCol w:w="1092"/>
        <w:gridCol w:w="983"/>
        <w:gridCol w:w="1172"/>
      </w:tblGrid>
      <w:tr w:rsidR="00540436" w:rsidTr="00540436">
        <w:trPr>
          <w:jc w:val="center"/>
        </w:trPr>
        <w:tc>
          <w:tcPr>
            <w:tcW w:w="0" w:type="auto"/>
          </w:tcPr>
          <w:p w:rsidR="00540436" w:rsidRDefault="00540436" w:rsidP="00274E90">
            <w:pPr>
              <w:contextualSpacing/>
              <w:jc w:val="center"/>
            </w:pPr>
            <w:r>
              <w:t>Переменные</w:t>
            </w:r>
          </w:p>
        </w:tc>
        <w:tc>
          <w:tcPr>
            <w:tcW w:w="0" w:type="auto"/>
          </w:tcPr>
          <w:p w:rsidR="00540436" w:rsidRDefault="00540436" w:rsidP="00274E90">
            <w:pPr>
              <w:contextualSpacing/>
              <w:jc w:val="center"/>
            </w:pPr>
            <w:r>
              <w:t>C-LCCT</w:t>
            </w:r>
          </w:p>
        </w:tc>
        <w:tc>
          <w:tcPr>
            <w:tcW w:w="0" w:type="auto"/>
          </w:tcPr>
          <w:p w:rsidR="00540436" w:rsidRDefault="00540436" w:rsidP="00274E90">
            <w:pPr>
              <w:contextualSpacing/>
              <w:jc w:val="center"/>
            </w:pPr>
            <w:r>
              <w:t>TT</w:t>
            </w:r>
          </w:p>
        </w:tc>
        <w:tc>
          <w:tcPr>
            <w:tcW w:w="983" w:type="dxa"/>
          </w:tcPr>
          <w:p w:rsidR="00540436" w:rsidRPr="0096250D" w:rsidRDefault="00540436" w:rsidP="00274E90">
            <w:pPr>
              <w:contextualSpacing/>
              <w:jc w:val="center"/>
              <w:rPr>
                <w:sz w:val="20"/>
                <w:szCs w:val="20"/>
              </w:rPr>
            </w:pPr>
            <w:r>
              <w:t>T</w:t>
            </w:r>
          </w:p>
        </w:tc>
        <w:tc>
          <w:tcPr>
            <w:tcW w:w="0" w:type="auto"/>
          </w:tcPr>
          <w:p w:rsidR="00540436" w:rsidRDefault="00540436" w:rsidP="00274E90">
            <w:pPr>
              <w:contextualSpacing/>
              <w:jc w:val="center"/>
            </w:pPr>
            <w:r w:rsidRPr="0096250D">
              <w:rPr>
                <w:sz w:val="20"/>
                <w:szCs w:val="20"/>
              </w:rPr>
              <w:t>p Значение</w:t>
            </w:r>
          </w:p>
        </w:tc>
      </w:tr>
      <w:tr w:rsidR="00540436" w:rsidTr="00540436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40436" w:rsidRPr="003F48BF" w:rsidRDefault="00540436" w:rsidP="00540436">
            <w:pPr>
              <w:contextualSpacing/>
              <w:jc w:val="center"/>
            </w:pPr>
            <w:r>
              <w:t>VAS</w:t>
            </w:r>
          </w:p>
        </w:tc>
        <w:tc>
          <w:tcPr>
            <w:tcW w:w="0" w:type="auto"/>
            <w:tcBorders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−2.7 ± 1.5</w:t>
            </w:r>
          </w:p>
        </w:tc>
        <w:tc>
          <w:tcPr>
            <w:tcW w:w="0" w:type="auto"/>
            <w:tcBorders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−2.7 ± 1.0</w:t>
            </w:r>
          </w:p>
        </w:tc>
        <w:tc>
          <w:tcPr>
            <w:tcW w:w="983" w:type="dxa"/>
            <w:tcBorders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−1.6</w:t>
            </w:r>
          </w:p>
        </w:tc>
        <w:tc>
          <w:tcPr>
            <w:tcW w:w="0" w:type="auto"/>
            <w:tcBorders>
              <w:bottom w:val="nil"/>
            </w:tcBorders>
          </w:tcPr>
          <w:p w:rsidR="00540436" w:rsidRDefault="00E553BA" w:rsidP="00274E90">
            <w:pPr>
              <w:contextualSpacing/>
              <w:jc w:val="center"/>
            </w:pPr>
            <w:r>
              <w:t>&gt;0.05</w:t>
            </w:r>
          </w:p>
        </w:tc>
      </w:tr>
      <w:tr w:rsidR="00540436" w:rsidTr="0054043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ODI (%)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−9.7 ± 9.8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−1.6 ± 7.1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0436" w:rsidRDefault="00540436" w:rsidP="00274E90">
            <w:pPr>
              <w:contextualSpacing/>
              <w:jc w:val="center"/>
            </w:pPr>
            <w:r>
              <w:t>−2.3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E553BA" w:rsidP="00274E90">
            <w:pPr>
              <w:contextualSpacing/>
              <w:jc w:val="center"/>
            </w:pPr>
            <w:r>
              <w:t>&lt;0.05 *</w:t>
            </w:r>
          </w:p>
        </w:tc>
      </w:tr>
      <w:tr w:rsidR="00540436" w:rsidTr="0054043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 xml:space="preserve">Угол </w:t>
            </w:r>
            <w:proofErr w:type="spellStart"/>
            <w:r>
              <w:t>Кобба</w:t>
            </w:r>
            <w:proofErr w:type="spellEnd"/>
            <w:r>
              <w:t xml:space="preserve"> по сегменту С2-С7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10.1 ± 4.5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−0.3 ± 5.3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40436" w:rsidRDefault="00E553BA" w:rsidP="00540436">
            <w:pPr>
              <w:contextualSpacing/>
              <w:jc w:val="center"/>
            </w:pPr>
            <w:r>
              <w:t>7.6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40436" w:rsidRDefault="00E553BA" w:rsidP="00540436">
            <w:pPr>
              <w:contextualSpacing/>
              <w:jc w:val="center"/>
            </w:pPr>
            <w:r>
              <w:t>&lt;0.001 *</w:t>
            </w:r>
          </w:p>
        </w:tc>
      </w:tr>
      <w:tr w:rsidR="00540436" w:rsidTr="00540436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Площадь центрального канала, мм</w:t>
            </w:r>
            <w:r w:rsidRPr="00F74960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5.1 ± 5.3</w:t>
            </w:r>
          </w:p>
        </w:tc>
        <w:tc>
          <w:tcPr>
            <w:tcW w:w="0" w:type="auto"/>
            <w:tcBorders>
              <w:top w:val="nil"/>
            </w:tcBorders>
          </w:tcPr>
          <w:p w:rsidR="00540436" w:rsidRDefault="00540436" w:rsidP="00540436">
            <w:pPr>
              <w:contextualSpacing/>
              <w:jc w:val="center"/>
            </w:pPr>
            <w:r>
              <w:t>−2.5 ± 5.8</w:t>
            </w:r>
          </w:p>
        </w:tc>
        <w:tc>
          <w:tcPr>
            <w:tcW w:w="983" w:type="dxa"/>
            <w:tcBorders>
              <w:top w:val="nil"/>
            </w:tcBorders>
          </w:tcPr>
          <w:p w:rsidR="00540436" w:rsidRDefault="00E553BA" w:rsidP="00540436">
            <w:pPr>
              <w:contextualSpacing/>
              <w:jc w:val="center"/>
            </w:pPr>
            <w:r>
              <w:t>3.7</w:t>
            </w:r>
          </w:p>
        </w:tc>
        <w:tc>
          <w:tcPr>
            <w:tcW w:w="0" w:type="auto"/>
            <w:tcBorders>
              <w:top w:val="nil"/>
            </w:tcBorders>
          </w:tcPr>
          <w:p w:rsidR="00540436" w:rsidRDefault="00E553BA" w:rsidP="00540436">
            <w:pPr>
              <w:contextualSpacing/>
              <w:jc w:val="center"/>
            </w:pPr>
            <w:r>
              <w:t>&lt;0.001 *</w:t>
            </w:r>
          </w:p>
        </w:tc>
      </w:tr>
    </w:tbl>
    <w:p w:rsidR="00E553BA" w:rsidRDefault="00E553BA" w:rsidP="00E553BA">
      <w:pPr>
        <w:spacing w:after="0"/>
        <w:contextualSpacing/>
        <w:jc w:val="center"/>
        <w:rPr>
          <w:sz w:val="18"/>
          <w:szCs w:val="18"/>
        </w:rPr>
      </w:pPr>
      <w:r w:rsidRPr="00855E20">
        <w:rPr>
          <w:sz w:val="18"/>
          <w:szCs w:val="18"/>
        </w:rPr>
        <w:t>* р &lt;0,05</w:t>
      </w:r>
    </w:p>
    <w:p w:rsidR="00927AFC" w:rsidRDefault="00927AFC" w:rsidP="003A2B30">
      <w:pPr>
        <w:spacing w:after="0"/>
        <w:contextualSpacing/>
        <w:jc w:val="both"/>
        <w:rPr>
          <w:b/>
        </w:rPr>
      </w:pPr>
    </w:p>
    <w:p w:rsidR="003A2B30" w:rsidRPr="007238BE" w:rsidRDefault="00EF4FC4" w:rsidP="003A2B30">
      <w:pPr>
        <w:spacing w:after="0"/>
        <w:contextualSpacing/>
        <w:jc w:val="both"/>
        <w:rPr>
          <w:b/>
        </w:rPr>
      </w:pPr>
      <w:r w:rsidRPr="007238BE">
        <w:rPr>
          <w:b/>
        </w:rPr>
        <w:t>4. Обсуждения</w:t>
      </w:r>
    </w:p>
    <w:p w:rsidR="00756CE5" w:rsidRDefault="00756CE5" w:rsidP="003A2B30">
      <w:pPr>
        <w:spacing w:after="0"/>
        <w:contextualSpacing/>
        <w:jc w:val="both"/>
      </w:pPr>
      <w:proofErr w:type="spellStart"/>
      <w:r w:rsidRPr="00756CE5">
        <w:t>Тракция</w:t>
      </w:r>
      <w:proofErr w:type="spellEnd"/>
      <w:r w:rsidRPr="00756CE5">
        <w:t xml:space="preserve"> (вытяжение) применяется как один из совершенных консервативных методов удлинения межпозвонкового дискового расстояния [</w:t>
      </w:r>
      <w:r w:rsidRPr="007401FC">
        <w:rPr>
          <w:color w:val="2E74B5" w:themeColor="accent5" w:themeShade="BF"/>
        </w:rPr>
        <w:t>20,21</w:t>
      </w:r>
      <w:r w:rsidRPr="00756CE5">
        <w:t xml:space="preserve">]. Несмотря на теоретические преимущества </w:t>
      </w:r>
      <w:proofErr w:type="spellStart"/>
      <w:r w:rsidRPr="00756CE5">
        <w:t>тракции</w:t>
      </w:r>
      <w:proofErr w:type="spellEnd"/>
      <w:r w:rsidRPr="00756CE5">
        <w:t>, ее клинические результаты не показывали превосходства над другими консервативными методами лечения. Систематические обзоры предоставили слабую поддержку данному методу лечения [</w:t>
      </w:r>
      <w:r w:rsidRPr="007401FC">
        <w:rPr>
          <w:color w:val="2E74B5" w:themeColor="accent5" w:themeShade="BF"/>
        </w:rPr>
        <w:t>17,22</w:t>
      </w:r>
      <w:r w:rsidRPr="00756CE5">
        <w:t>].</w:t>
      </w:r>
    </w:p>
    <w:p w:rsidR="000B715F" w:rsidRDefault="000B715F" w:rsidP="003A2B30">
      <w:pPr>
        <w:spacing w:after="0"/>
        <w:contextualSpacing/>
        <w:jc w:val="both"/>
      </w:pPr>
      <w:r w:rsidRPr="000B715F">
        <w:t xml:space="preserve">Отсутствие хорошо продуманных двойных слепых контролируемых исследований, различных техник, методических рекомендаций и показаний привело к нечастому использованию </w:t>
      </w:r>
      <w:proofErr w:type="spellStart"/>
      <w:r w:rsidRPr="000B715F">
        <w:t>тракции</w:t>
      </w:r>
      <w:proofErr w:type="spellEnd"/>
      <w:r w:rsidRPr="000B715F">
        <w:t xml:space="preserve"> в клинических условиях. Различные методы </w:t>
      </w:r>
      <w:proofErr w:type="spellStart"/>
      <w:r w:rsidRPr="000B715F">
        <w:t>тракции</w:t>
      </w:r>
      <w:proofErr w:type="spellEnd"/>
      <w:r w:rsidRPr="000B715F">
        <w:t>, выполняемые физиотерапевтами разного уровня подготовки, включая показания и техники, принципы и параметры, и сопутствующее использование дополнительных вмешательств</w:t>
      </w:r>
      <w:r w:rsidR="00E65372">
        <w:t xml:space="preserve"> –</w:t>
      </w:r>
      <w:r w:rsidRPr="000B715F">
        <w:t xml:space="preserve"> всё это сильно влияло на результаты лечения. Одно исследование показало, что 93,1% терапевтов были готовы использовать </w:t>
      </w:r>
      <w:proofErr w:type="spellStart"/>
      <w:r w:rsidRPr="000B715F">
        <w:t>тракцию</w:t>
      </w:r>
      <w:proofErr w:type="spellEnd"/>
      <w:r w:rsidRPr="000B715F">
        <w:t xml:space="preserve"> у пациентов с компрессией корешков шейного отдела [</w:t>
      </w:r>
      <w:r w:rsidRPr="000B715F">
        <w:rPr>
          <w:color w:val="2E74B5" w:themeColor="accent5" w:themeShade="BF"/>
        </w:rPr>
        <w:t>4</w:t>
      </w:r>
      <w:r w:rsidRPr="000B715F">
        <w:t xml:space="preserve">]. Однако </w:t>
      </w:r>
      <w:proofErr w:type="spellStart"/>
      <w:r w:rsidRPr="000B715F">
        <w:t>тракция</w:t>
      </w:r>
      <w:proofErr w:type="spellEnd"/>
      <w:r w:rsidRPr="000B715F">
        <w:t xml:space="preserve"> не давала последовательных и успешных результатов, и часто требовала дополнения другими консервативными методами [</w:t>
      </w:r>
      <w:r w:rsidRPr="000B715F">
        <w:rPr>
          <w:color w:val="2E74B5" w:themeColor="accent5" w:themeShade="BF"/>
        </w:rPr>
        <w:t>12</w:t>
      </w:r>
      <w:r w:rsidRPr="000B715F">
        <w:t>].</w:t>
      </w:r>
    </w:p>
    <w:p w:rsidR="00C2324D" w:rsidRDefault="00415AF7" w:rsidP="003A2B30">
      <w:pPr>
        <w:spacing w:after="0"/>
        <w:contextualSpacing/>
        <w:jc w:val="both"/>
      </w:pPr>
      <w:r w:rsidRPr="00415AF7">
        <w:t xml:space="preserve">К сожалению, большинство исследований пришли к выводу, что использование </w:t>
      </w:r>
      <w:proofErr w:type="spellStart"/>
      <w:r w:rsidRPr="00415AF7">
        <w:t>тракции</w:t>
      </w:r>
      <w:proofErr w:type="spellEnd"/>
      <w:r w:rsidRPr="00415AF7">
        <w:t xml:space="preserve"> шеи согласуется только </w:t>
      </w:r>
      <w:r w:rsidR="00E65372" w:rsidRPr="00415AF7">
        <w:t>с предложенным</w:t>
      </w:r>
      <w:r w:rsidRPr="00415AF7">
        <w:t xml:space="preserve"> критерием, позволяющим определить пациентов, которым может помочь лечение [</w:t>
      </w:r>
      <w:r w:rsidRPr="000A2B42">
        <w:rPr>
          <w:color w:val="2E74B5" w:themeColor="accent5" w:themeShade="BF"/>
        </w:rPr>
        <w:t>23</w:t>
      </w:r>
      <w:r w:rsidRPr="00415AF7">
        <w:t xml:space="preserve">]. Несмотря на низкую репутацию, многие техники </w:t>
      </w:r>
      <w:proofErr w:type="spellStart"/>
      <w:r w:rsidR="00E65372" w:rsidRPr="00415AF7">
        <w:t>тракции</w:t>
      </w:r>
      <w:proofErr w:type="spellEnd"/>
      <w:r w:rsidR="00E65372" w:rsidRPr="00415AF7">
        <w:t xml:space="preserve"> и</w:t>
      </w:r>
      <w:r w:rsidRPr="00415AF7">
        <w:t xml:space="preserve"> инструкции должны </w:t>
      </w:r>
      <w:r w:rsidR="00EF199F">
        <w:t>быть упорядочены</w:t>
      </w:r>
      <w:r w:rsidRPr="00415AF7">
        <w:t xml:space="preserve"> для достижения оптимальных терапевтических результатов при использовании в сочетании с несколькими методами лечения.</w:t>
      </w:r>
    </w:p>
    <w:p w:rsidR="008142AE" w:rsidRDefault="008142AE" w:rsidP="003A2B30">
      <w:pPr>
        <w:spacing w:after="0"/>
        <w:contextualSpacing/>
        <w:jc w:val="both"/>
      </w:pPr>
      <w:r w:rsidRPr="008142AE">
        <w:t xml:space="preserve">На основании предыдущих исследований </w:t>
      </w:r>
      <w:proofErr w:type="spellStart"/>
      <w:r w:rsidRPr="008142AE">
        <w:t>тракция</w:t>
      </w:r>
      <w:proofErr w:type="spellEnd"/>
      <w:r w:rsidRPr="008142AE">
        <w:t xml:space="preserve"> может рассматриваться как один из возможных вариантов лечения ком</w:t>
      </w:r>
      <w:r w:rsidR="00B30B90">
        <w:t>прессии корешков шейного отдела</w:t>
      </w:r>
      <w:r w:rsidRPr="008142AE">
        <w:t xml:space="preserve">. Однако это не самый </w:t>
      </w:r>
      <w:r w:rsidR="00EF199F">
        <w:t>действенный</w:t>
      </w:r>
      <w:r w:rsidRPr="008142AE">
        <w:t xml:space="preserve"> и </w:t>
      </w:r>
      <w:r w:rsidRPr="008142AE">
        <w:lastRenderedPageBreak/>
        <w:t xml:space="preserve">надежный метод уменьшения компрессии. Авторы сообщали о технических ограничениях традиционного типа </w:t>
      </w:r>
      <w:proofErr w:type="spellStart"/>
      <w:r w:rsidRPr="008142AE">
        <w:t>тракции</w:t>
      </w:r>
      <w:proofErr w:type="spellEnd"/>
      <w:r w:rsidRPr="008142AE">
        <w:t xml:space="preserve"> для обеспечения усп</w:t>
      </w:r>
      <w:r w:rsidR="00EF199F">
        <w:t>ешных результатов</w:t>
      </w:r>
      <w:r w:rsidRPr="008142AE">
        <w:t xml:space="preserve">. Из-за силы тяжести в положении лежа на спине неправильное распределение давления уменьшает </w:t>
      </w:r>
      <w:proofErr w:type="spellStart"/>
      <w:r w:rsidRPr="008142AE">
        <w:t>лордотический</w:t>
      </w:r>
      <w:proofErr w:type="spellEnd"/>
      <w:r w:rsidRPr="008142AE">
        <w:t xml:space="preserve"> изг</w:t>
      </w:r>
      <w:r w:rsidR="00EF199F">
        <w:t xml:space="preserve">иб позвоночника. Помимо воздействия </w:t>
      </w:r>
      <w:r w:rsidRPr="008142AE">
        <w:t>гравитации в положении лежа на спине, линейное вытяжение также умен</w:t>
      </w:r>
      <w:r w:rsidR="00272D11">
        <w:t xml:space="preserve">ьшает </w:t>
      </w:r>
      <w:proofErr w:type="spellStart"/>
      <w:r w:rsidR="00272D11">
        <w:t>лордотический</w:t>
      </w:r>
      <w:proofErr w:type="spellEnd"/>
      <w:r w:rsidRPr="008142AE">
        <w:t xml:space="preserve"> </w:t>
      </w:r>
      <w:r w:rsidR="00272D11">
        <w:t>изгиб</w:t>
      </w:r>
      <w:r w:rsidRPr="008142AE">
        <w:t>.</w:t>
      </w:r>
      <w:r w:rsidR="00E23C12">
        <w:t xml:space="preserve"> </w:t>
      </w:r>
      <w:r w:rsidR="00E23C12" w:rsidRPr="00E23C12">
        <w:t xml:space="preserve">В итоге, несмотря на то, что </w:t>
      </w:r>
      <w:proofErr w:type="spellStart"/>
      <w:r w:rsidR="00E23C12" w:rsidRPr="00E23C12">
        <w:t>тракция</w:t>
      </w:r>
      <w:proofErr w:type="spellEnd"/>
      <w:r w:rsidR="00E23C12" w:rsidRPr="00E23C12">
        <w:t xml:space="preserve"> увеличивает и удлиняет межпозвонковое пространство, метод ТТ уменьшает </w:t>
      </w:r>
      <w:proofErr w:type="spellStart"/>
      <w:r w:rsidR="00E23C12" w:rsidRPr="00E23C12">
        <w:t>лордотическ</w:t>
      </w:r>
      <w:r w:rsidR="00272D11">
        <w:t>ий</w:t>
      </w:r>
      <w:proofErr w:type="spellEnd"/>
      <w:r w:rsidR="00E23C12" w:rsidRPr="00E23C12">
        <w:t xml:space="preserve"> </w:t>
      </w:r>
      <w:r w:rsidR="00272D11">
        <w:t>изгиб</w:t>
      </w:r>
      <w:r w:rsidR="00E23C12" w:rsidRPr="00E23C12">
        <w:t>, что приводит к чрезмерному давлению на задние структуры позвоночника. Если сила при ТТ превышает предел сопротивления пациента, происходит растягивание задних структур позвоночника, что приводит к боли и невысоким результатам.</w:t>
      </w:r>
    </w:p>
    <w:p w:rsidR="00E23C12" w:rsidRDefault="00E23C12" w:rsidP="003A2B30">
      <w:pPr>
        <w:spacing w:after="0"/>
        <w:contextualSpacing/>
        <w:jc w:val="both"/>
      </w:pPr>
      <w:r w:rsidRPr="00E23C12">
        <w:t>Метод C-LCCT, обсуждаемый в этом исследов</w:t>
      </w:r>
      <w:r w:rsidR="00272D11">
        <w:t xml:space="preserve">ании, поддерживает </w:t>
      </w:r>
      <w:proofErr w:type="spellStart"/>
      <w:r w:rsidR="00272D11">
        <w:t>лордотический</w:t>
      </w:r>
      <w:proofErr w:type="spellEnd"/>
      <w:r w:rsidR="00272D11">
        <w:t xml:space="preserve"> изгиб</w:t>
      </w:r>
      <w:r w:rsidRPr="00E23C12">
        <w:t xml:space="preserve"> </w:t>
      </w:r>
      <w:proofErr w:type="gramStart"/>
      <w:r w:rsidRPr="00E23C12">
        <w:t>во время</w:t>
      </w:r>
      <w:proofErr w:type="gramEnd"/>
      <w:r w:rsidRPr="00E23C12">
        <w:t xml:space="preserve"> </w:t>
      </w:r>
      <w:proofErr w:type="spellStart"/>
      <w:r w:rsidRPr="00E23C12">
        <w:t>тракции</w:t>
      </w:r>
      <w:proofErr w:type="spellEnd"/>
      <w:r w:rsidRPr="00E23C12">
        <w:t xml:space="preserve"> через морфологическое улучшение, приводящее к эффективным результатам со сбалансированным распределением силы вытяжения на структуру позвоночника (Рисунок 1). Кроме того, автомати</w:t>
      </w:r>
      <w:r w:rsidR="00B92E5D">
        <w:t>ческая</w:t>
      </w:r>
      <w:r w:rsidRPr="00E23C12">
        <w:t xml:space="preserve"> система </w:t>
      </w:r>
      <w:r w:rsidR="00B92E5D">
        <w:t>от</w:t>
      </w:r>
      <w:r w:rsidR="00B92E5D" w:rsidRPr="00E23C12">
        <w:t>с</w:t>
      </w:r>
      <w:r w:rsidR="00B92E5D">
        <w:t>леживания</w:t>
      </w:r>
      <w:r w:rsidR="00272D11">
        <w:t xml:space="preserve"> также обеспечивает шейный</w:t>
      </w:r>
      <w:r w:rsidRPr="00E23C12">
        <w:t xml:space="preserve"> </w:t>
      </w:r>
      <w:proofErr w:type="spellStart"/>
      <w:r w:rsidRPr="00E23C12">
        <w:t>лордотическ</w:t>
      </w:r>
      <w:r w:rsidR="00272D11">
        <w:t>ий</w:t>
      </w:r>
      <w:proofErr w:type="spellEnd"/>
      <w:r w:rsidR="00272D11">
        <w:t xml:space="preserve"> изгиб</w:t>
      </w:r>
      <w:r w:rsidRPr="00E23C12">
        <w:t xml:space="preserve"> з</w:t>
      </w:r>
      <w:r w:rsidR="00612525">
        <w:t xml:space="preserve">а счет поднятия сегмента C4–С6 </w:t>
      </w:r>
      <w:r w:rsidRPr="00E23C12">
        <w:t xml:space="preserve">во время лечения по методу C-LCCT. Следовательно, обеспечивается равномерное удлинение межпозвонкового </w:t>
      </w:r>
      <w:r w:rsidR="00612525" w:rsidRPr="00E23C12">
        <w:t>пространства в</w:t>
      </w:r>
      <w:r w:rsidRPr="00E23C12">
        <w:t xml:space="preserve"> течение всего сеанса </w:t>
      </w:r>
      <w:proofErr w:type="spellStart"/>
      <w:r w:rsidRPr="00E23C12">
        <w:t>тракции</w:t>
      </w:r>
      <w:proofErr w:type="spellEnd"/>
      <w:r w:rsidRPr="00E23C12">
        <w:t>.</w:t>
      </w:r>
    </w:p>
    <w:p w:rsidR="00401BC6" w:rsidRDefault="00401BC6" w:rsidP="003A2B30">
      <w:pPr>
        <w:spacing w:after="0"/>
        <w:contextualSpacing/>
        <w:jc w:val="both"/>
      </w:pPr>
      <w:r w:rsidRPr="00401BC6">
        <w:t xml:space="preserve">В нашем исследовании терапевтический эффект C-LCCT был значительно выше, чем у TT с точки зрения боли, функциональных и морфологических результатов. Обе группы показали значительное уменьшение боли после сеансов лечения (таблица 2). Однако, у пациентов из группы ТТ не произошло существенных изменений функциональных и морфологических характеристик. Значительное изменение площади центрального канала наблюдалось у пациентов из группы C-LCCT (130,9 ± 40,5 и 136,0 ± 43,2, p &lt;0,001 *, до и после лечения, соответственно). Равномерное распределение силы </w:t>
      </w:r>
      <w:proofErr w:type="spellStart"/>
      <w:r w:rsidRPr="00401BC6">
        <w:t>тракции</w:t>
      </w:r>
      <w:proofErr w:type="spellEnd"/>
      <w:r w:rsidRPr="00401BC6">
        <w:t xml:space="preserve"> три C-LCCT (спереди и сзади) превосходно увеличивает межпозвонковое пространство без формирования лишнего мышечного напряжения, тем самым увеличивая его эффективность. Основываясь на наших результатах, поддержание </w:t>
      </w:r>
      <w:proofErr w:type="spellStart"/>
      <w:r w:rsidRPr="00401BC6">
        <w:t>лордотическ</w:t>
      </w:r>
      <w:r w:rsidR="00272D11">
        <w:t>ого</w:t>
      </w:r>
      <w:proofErr w:type="spellEnd"/>
      <w:r w:rsidRPr="00401BC6">
        <w:t xml:space="preserve"> </w:t>
      </w:r>
      <w:r w:rsidR="00272D11">
        <w:t>изгиба</w:t>
      </w:r>
      <w:r w:rsidRPr="00401BC6">
        <w:t xml:space="preserve"> необходимо для улучшения терапевтических результатов у пациентов, проходивших лечение в группе ТТ.</w:t>
      </w:r>
    </w:p>
    <w:p w:rsidR="00401BC6" w:rsidRDefault="00401BC6" w:rsidP="003A2B30">
      <w:pPr>
        <w:spacing w:after="0"/>
        <w:contextualSpacing/>
        <w:jc w:val="both"/>
      </w:pPr>
      <w:r w:rsidRPr="00401BC6">
        <w:t>Несмотря на благоприятные результаты, наше исследование имеет ряд ограничений. Во-первых, различные условия, связанные с компрессией спинномозгового нерва, не были включены в это исследование. Степень компрессии нервного корешка и структурные различия могут влиять на результаты лечения. Необходимы дальнейшие исследования по изучению различных состояни</w:t>
      </w:r>
      <w:r w:rsidR="009E0AA8">
        <w:t>й</w:t>
      </w:r>
      <w:r>
        <w:t xml:space="preserve"> </w:t>
      </w:r>
      <w:r w:rsidR="009E0AA8">
        <w:t>заболеваний диска</w:t>
      </w:r>
      <w:r>
        <w:t xml:space="preserve">. Во-вторых, </w:t>
      </w:r>
      <w:r w:rsidRPr="00401BC6">
        <w:t xml:space="preserve">желательно долгосрочное клиническое исследование для подтверждения предварительных результатов краткосрочной эффективности через пять недель после лечения. Исследования, устанавливающие долгосрочные эффекты C-LCCT прояснят ценность клинического применения </w:t>
      </w:r>
      <w:proofErr w:type="spellStart"/>
      <w:r w:rsidRPr="00401BC6">
        <w:t>тракции</w:t>
      </w:r>
      <w:proofErr w:type="spellEnd"/>
      <w:r w:rsidRPr="00401BC6">
        <w:t>.</w:t>
      </w:r>
    </w:p>
    <w:p w:rsidR="00342CAB" w:rsidRDefault="00342CAB" w:rsidP="003A2B30">
      <w:pPr>
        <w:spacing w:after="0"/>
        <w:contextualSpacing/>
        <w:jc w:val="both"/>
      </w:pPr>
      <w:r w:rsidRPr="00342CAB">
        <w:t xml:space="preserve">В соответствии с нашей исходной гипотезой о том, что правильное распределение силы </w:t>
      </w:r>
      <w:proofErr w:type="spellStart"/>
      <w:r w:rsidRPr="00342CAB">
        <w:t>тракции</w:t>
      </w:r>
      <w:proofErr w:type="spellEnd"/>
      <w:r w:rsidRPr="00342CAB">
        <w:t xml:space="preserve"> является ключом к поддержанию </w:t>
      </w:r>
      <w:proofErr w:type="spellStart"/>
      <w:r w:rsidRPr="00342CAB">
        <w:t>лордотическо</w:t>
      </w:r>
      <w:r w:rsidR="009E0AA8">
        <w:t>го</w:t>
      </w:r>
      <w:proofErr w:type="spellEnd"/>
      <w:r w:rsidR="009E0AA8">
        <w:t xml:space="preserve"> изги</w:t>
      </w:r>
      <w:r w:rsidR="00272D11">
        <w:t>ба</w:t>
      </w:r>
      <w:r w:rsidRPr="00342CAB">
        <w:t xml:space="preserve">, мы обнаружили значительные успешные результаты применения метода C-LCCT. В сравнении с TT наше </w:t>
      </w:r>
      <w:proofErr w:type="spellStart"/>
      <w:r w:rsidRPr="00342CAB">
        <w:t>рандомизированное</w:t>
      </w:r>
      <w:proofErr w:type="spellEnd"/>
      <w:r w:rsidRPr="00342CAB">
        <w:t xml:space="preserve"> двойное слепое контролируемое исследование показало статистически значимые различия в боли, функциональных показателях и морфологических изменениях. Для обобщения наших результатов необходимы дополнительные образцы, включая различные группы пациентов и доработанные методические рекомендации по лечению. Основываясь на наших результатах, </w:t>
      </w:r>
      <w:r w:rsidR="009E0AA8">
        <w:t xml:space="preserve">можно сделать вывод, что </w:t>
      </w:r>
      <w:r w:rsidRPr="00342CAB">
        <w:t>недавно изобретенный метод C-LCCT рекомендуется как надежный консервативный метод для снижения компрессии спинного нерва у пац</w:t>
      </w:r>
      <w:r w:rsidR="009E0AA8">
        <w:t>иентов с диагнозом "заболевание</w:t>
      </w:r>
      <w:r w:rsidRPr="00342CAB">
        <w:t xml:space="preserve"> шейного межпозвоночного диска".</w:t>
      </w:r>
    </w:p>
    <w:p w:rsidR="00C90046" w:rsidRDefault="00C90046" w:rsidP="003A2B30">
      <w:pPr>
        <w:spacing w:after="0"/>
        <w:contextualSpacing/>
        <w:jc w:val="both"/>
      </w:pPr>
    </w:p>
    <w:p w:rsidR="00C90046" w:rsidRDefault="00C90046" w:rsidP="003A2B30">
      <w:pPr>
        <w:spacing w:after="0"/>
        <w:contextualSpacing/>
        <w:jc w:val="both"/>
        <w:rPr>
          <w:b/>
        </w:rPr>
      </w:pPr>
      <w:r w:rsidRPr="00C90046">
        <w:rPr>
          <w:b/>
        </w:rPr>
        <w:t>5. Выводы</w:t>
      </w:r>
    </w:p>
    <w:p w:rsidR="00C90046" w:rsidRDefault="00C90046" w:rsidP="003A2B30">
      <w:pPr>
        <w:spacing w:after="0"/>
        <w:contextualSpacing/>
        <w:jc w:val="both"/>
      </w:pPr>
      <w:r w:rsidRPr="00C90046">
        <w:t xml:space="preserve">Сохранение </w:t>
      </w:r>
      <w:proofErr w:type="spellStart"/>
      <w:r w:rsidRPr="00C90046">
        <w:t>лордотическо</w:t>
      </w:r>
      <w:r w:rsidR="00272D11">
        <w:t>го</w:t>
      </w:r>
      <w:proofErr w:type="spellEnd"/>
      <w:r w:rsidR="00272D11">
        <w:t xml:space="preserve"> изгиба</w:t>
      </w:r>
      <w:r w:rsidRPr="00C90046">
        <w:t xml:space="preserve"> является одним из ключевых факторов, позволяющих улучшить результаты лечения </w:t>
      </w:r>
      <w:proofErr w:type="spellStart"/>
      <w:r w:rsidRPr="00C90046">
        <w:t>тракцией</w:t>
      </w:r>
      <w:proofErr w:type="spellEnd"/>
      <w:r w:rsidRPr="00C90046">
        <w:t xml:space="preserve"> у пациентов с компресси</w:t>
      </w:r>
      <w:r w:rsidR="009E0AA8">
        <w:t>ей</w:t>
      </w:r>
      <w:r w:rsidRPr="00C90046">
        <w:t xml:space="preserve"> нервного корешка в шейном отделе. Основываясь на полученных нами результатах, мы предлагаем метод C-LCCT как надежный вариант лечения, доступный в клинических условиях.</w:t>
      </w:r>
    </w:p>
    <w:p w:rsidR="000B10B5" w:rsidRDefault="000B10B5" w:rsidP="003A2B30">
      <w:pPr>
        <w:spacing w:after="0"/>
        <w:contextualSpacing/>
        <w:jc w:val="both"/>
      </w:pPr>
    </w:p>
    <w:p w:rsidR="000B10B5" w:rsidRDefault="000B10B5" w:rsidP="003A2B30">
      <w:pPr>
        <w:spacing w:after="0"/>
        <w:contextualSpacing/>
        <w:jc w:val="both"/>
      </w:pPr>
      <w:r w:rsidRPr="000B10B5">
        <w:rPr>
          <w:b/>
        </w:rPr>
        <w:lastRenderedPageBreak/>
        <w:t>Вклад авторов:</w:t>
      </w:r>
      <w:r w:rsidRPr="000B10B5">
        <w:t xml:space="preserve"> </w:t>
      </w:r>
      <w:r w:rsidR="001C7C50" w:rsidRPr="001C7C50">
        <w:t>Написание первоначального проекта</w:t>
      </w:r>
      <w:r w:rsidR="001C7C50">
        <w:t>, C.-H.L</w:t>
      </w:r>
      <w:r w:rsidRPr="000B10B5">
        <w:t>.; написание рецензии и редактирован</w:t>
      </w:r>
      <w:r w:rsidR="001C7C50">
        <w:t>ие, S.-Y.K.; методология, S.J.H</w:t>
      </w:r>
      <w:r w:rsidRPr="000B10B5">
        <w:t>.; курирование данных, S.H.P., исследование H.S.J.</w:t>
      </w:r>
    </w:p>
    <w:p w:rsidR="000B10B5" w:rsidRDefault="000B10B5" w:rsidP="003A2B30">
      <w:pPr>
        <w:spacing w:after="0"/>
        <w:contextualSpacing/>
        <w:jc w:val="both"/>
      </w:pPr>
    </w:p>
    <w:p w:rsidR="000B10B5" w:rsidRDefault="000B10B5" w:rsidP="003A2B30">
      <w:pPr>
        <w:spacing w:after="0"/>
        <w:contextualSpacing/>
        <w:jc w:val="both"/>
      </w:pPr>
      <w:r w:rsidRPr="000B10B5">
        <w:rPr>
          <w:b/>
        </w:rPr>
        <w:t>Финансирование:</w:t>
      </w:r>
      <w:r>
        <w:t xml:space="preserve"> Э</w:t>
      </w:r>
      <w:r w:rsidRPr="000B10B5">
        <w:t>то исследование было поддержано грантом Корейского проекта исследований и разработок в области технологий здравоохранения Министерства здравоохранения и благополучия, Республика Корея (№ H17C2070).</w:t>
      </w:r>
    </w:p>
    <w:p w:rsidR="00D31F82" w:rsidRDefault="00D31F82" w:rsidP="003A2B30">
      <w:pPr>
        <w:spacing w:after="0"/>
        <w:contextualSpacing/>
        <w:jc w:val="both"/>
      </w:pPr>
    </w:p>
    <w:p w:rsidR="00D31F82" w:rsidRDefault="00D31F82" w:rsidP="003A2B30">
      <w:pPr>
        <w:spacing w:after="0"/>
        <w:contextualSpacing/>
        <w:jc w:val="both"/>
      </w:pPr>
      <w:r w:rsidRPr="00D31F82">
        <w:rPr>
          <w:b/>
        </w:rPr>
        <w:t>Конфликт интересов:</w:t>
      </w:r>
      <w:r>
        <w:t xml:space="preserve"> А</w:t>
      </w:r>
      <w:r w:rsidRPr="00D31F82">
        <w:t>вторы заявляют об отсутствии конфликта интересов.</w:t>
      </w:r>
    </w:p>
    <w:p w:rsidR="00CD0229" w:rsidRDefault="00CD0229" w:rsidP="003A2B30">
      <w:pPr>
        <w:spacing w:after="0"/>
        <w:contextualSpacing/>
        <w:jc w:val="both"/>
      </w:pPr>
    </w:p>
    <w:p w:rsidR="00CD0229" w:rsidRDefault="00CD0229" w:rsidP="003A2B30">
      <w:pPr>
        <w:spacing w:after="0"/>
        <w:contextualSpacing/>
        <w:jc w:val="both"/>
        <w:rPr>
          <w:b/>
        </w:rPr>
      </w:pPr>
      <w:r w:rsidRPr="00CD0229">
        <w:rPr>
          <w:b/>
        </w:rPr>
        <w:t>Ссылки</w:t>
      </w:r>
    </w:p>
    <w:p w:rsidR="00CD0229" w:rsidRPr="00CD0229" w:rsidRDefault="00CD0229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CD0229">
        <w:rPr>
          <w:lang w:val="en-US"/>
        </w:rPr>
        <w:t>Dedering</w:t>
      </w:r>
      <w:proofErr w:type="spellEnd"/>
      <w:r w:rsidRPr="00CD0229">
        <w:rPr>
          <w:lang w:val="en-US"/>
        </w:rPr>
        <w:t xml:space="preserve">, A.; </w:t>
      </w:r>
      <w:proofErr w:type="spellStart"/>
      <w:r w:rsidRPr="00CD0229">
        <w:rPr>
          <w:lang w:val="en-US"/>
        </w:rPr>
        <w:t>Halvorsen</w:t>
      </w:r>
      <w:proofErr w:type="spellEnd"/>
      <w:r w:rsidRPr="00CD0229">
        <w:rPr>
          <w:lang w:val="en-US"/>
        </w:rPr>
        <w:t xml:space="preserve">, M.; Cleland, J.; </w:t>
      </w:r>
      <w:proofErr w:type="spellStart"/>
      <w:r w:rsidRPr="00CD0229">
        <w:rPr>
          <w:lang w:val="en-US"/>
        </w:rPr>
        <w:t>Svensson</w:t>
      </w:r>
      <w:proofErr w:type="spellEnd"/>
      <w:r w:rsidRPr="00CD0229">
        <w:rPr>
          <w:lang w:val="en-US"/>
        </w:rPr>
        <w:t xml:space="preserve">, M.; </w:t>
      </w:r>
      <w:proofErr w:type="spellStart"/>
      <w:r w:rsidRPr="00CD0229">
        <w:rPr>
          <w:lang w:val="en-US"/>
        </w:rPr>
        <w:t>Peolsson</w:t>
      </w:r>
      <w:proofErr w:type="spellEnd"/>
      <w:r w:rsidRPr="00CD0229">
        <w:rPr>
          <w:lang w:val="en-US"/>
        </w:rPr>
        <w:t xml:space="preserve">, A. Neck-specific training with a cognitive </w:t>
      </w:r>
      <w:proofErr w:type="spellStart"/>
      <w:r w:rsidRPr="00CD0229">
        <w:rPr>
          <w:lang w:val="en-US"/>
        </w:rPr>
        <w:t>behavioural</w:t>
      </w:r>
      <w:proofErr w:type="spellEnd"/>
      <w:r w:rsidRPr="00CD0229">
        <w:rPr>
          <w:lang w:val="en-US"/>
        </w:rPr>
        <w:t xml:space="preserve"> approach compared with prescribed physical activity in patients with cervical radiculopathy: A protocol of a prospective </w:t>
      </w:r>
      <w:proofErr w:type="spellStart"/>
      <w:r w:rsidRPr="00CD0229">
        <w:rPr>
          <w:lang w:val="en-US"/>
        </w:rPr>
        <w:t>randomised</w:t>
      </w:r>
      <w:proofErr w:type="spellEnd"/>
      <w:r w:rsidRPr="00CD0229">
        <w:rPr>
          <w:lang w:val="en-US"/>
        </w:rPr>
        <w:t xml:space="preserve"> clinical trial. BMC </w:t>
      </w:r>
      <w:proofErr w:type="spellStart"/>
      <w:r w:rsidRPr="00CD0229">
        <w:rPr>
          <w:lang w:val="en-US"/>
        </w:rPr>
        <w:t>Musculoskelet</w:t>
      </w:r>
      <w:proofErr w:type="spellEnd"/>
      <w:r w:rsidRPr="00CD0229">
        <w:rPr>
          <w:lang w:val="en-US"/>
        </w:rPr>
        <w:t xml:space="preserve">. </w:t>
      </w:r>
      <w:proofErr w:type="spellStart"/>
      <w:r w:rsidRPr="00CD0229">
        <w:rPr>
          <w:lang w:val="en-US"/>
        </w:rPr>
        <w:t>Disord</w:t>
      </w:r>
      <w:proofErr w:type="spellEnd"/>
      <w:r w:rsidRPr="00CD0229">
        <w:rPr>
          <w:lang w:val="en-US"/>
        </w:rPr>
        <w:t xml:space="preserve">. </w:t>
      </w:r>
      <w:proofErr w:type="gramStart"/>
      <w:r w:rsidRPr="00CD0229">
        <w:rPr>
          <w:b/>
          <w:lang w:val="en-US"/>
        </w:rPr>
        <w:t>2014</w:t>
      </w:r>
      <w:proofErr w:type="gramEnd"/>
      <w:r w:rsidRPr="00CD0229">
        <w:rPr>
          <w:lang w:val="en-US"/>
        </w:rPr>
        <w:t>, 15, 274. [</w:t>
      </w:r>
      <w:proofErr w:type="spellStart"/>
      <w:r w:rsidRPr="00CD0229">
        <w:rPr>
          <w:color w:val="2E74B5" w:themeColor="accent5" w:themeShade="BF"/>
          <w:lang w:val="en-US"/>
        </w:rPr>
        <w:t>CrossRef</w:t>
      </w:r>
      <w:proofErr w:type="spellEnd"/>
      <w:r w:rsidRPr="00CD0229">
        <w:rPr>
          <w:lang w:val="en-US"/>
        </w:rPr>
        <w:t>] [</w:t>
      </w:r>
      <w:r w:rsidRPr="00CD0229">
        <w:rPr>
          <w:color w:val="2E74B5" w:themeColor="accent5" w:themeShade="BF"/>
          <w:lang w:val="en-US"/>
        </w:rPr>
        <w:t>PubMed</w:t>
      </w:r>
      <w:r w:rsidRPr="00CD0229">
        <w:rPr>
          <w:lang w:val="en-US"/>
        </w:rPr>
        <w:t>]</w:t>
      </w:r>
    </w:p>
    <w:p w:rsidR="00CD0229" w:rsidRPr="00CD0229" w:rsidRDefault="00CD0229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CD0229">
        <w:rPr>
          <w:lang w:val="en-US"/>
        </w:rPr>
        <w:t>Bagheripour</w:t>
      </w:r>
      <w:proofErr w:type="spellEnd"/>
      <w:r w:rsidRPr="00CD0229">
        <w:rPr>
          <w:lang w:val="en-US"/>
        </w:rPr>
        <w:t xml:space="preserve">, B.; </w:t>
      </w:r>
      <w:proofErr w:type="spellStart"/>
      <w:r w:rsidRPr="00CD0229">
        <w:rPr>
          <w:lang w:val="en-US"/>
        </w:rPr>
        <w:t>Kamyab</w:t>
      </w:r>
      <w:proofErr w:type="spellEnd"/>
      <w:r w:rsidRPr="00CD0229">
        <w:rPr>
          <w:lang w:val="en-US"/>
        </w:rPr>
        <w:t xml:space="preserve">, M.; </w:t>
      </w:r>
      <w:proofErr w:type="spellStart"/>
      <w:r w:rsidRPr="00CD0229">
        <w:rPr>
          <w:lang w:val="en-US"/>
        </w:rPr>
        <w:t>Azadinia</w:t>
      </w:r>
      <w:proofErr w:type="spellEnd"/>
      <w:r w:rsidRPr="00CD0229">
        <w:rPr>
          <w:lang w:val="en-US"/>
        </w:rPr>
        <w:t xml:space="preserve">, F.; </w:t>
      </w:r>
      <w:proofErr w:type="spellStart"/>
      <w:r w:rsidRPr="00CD0229">
        <w:rPr>
          <w:lang w:val="en-US"/>
        </w:rPr>
        <w:t>Amiri</w:t>
      </w:r>
      <w:proofErr w:type="spellEnd"/>
      <w:r w:rsidRPr="00CD0229">
        <w:rPr>
          <w:lang w:val="en-US"/>
        </w:rPr>
        <w:t xml:space="preserve">, A.; Akbari, M. The efficacy of a home-mechanical traction unit for patients with mild to moderate cervical </w:t>
      </w:r>
      <w:proofErr w:type="spellStart"/>
      <w:r w:rsidRPr="00CD0229">
        <w:rPr>
          <w:lang w:val="en-US"/>
        </w:rPr>
        <w:t>osteoarthrosis</w:t>
      </w:r>
      <w:proofErr w:type="spellEnd"/>
      <w:r w:rsidRPr="00CD0229">
        <w:rPr>
          <w:lang w:val="en-US"/>
        </w:rPr>
        <w:t xml:space="preserve">: A pilot study. </w:t>
      </w:r>
      <w:proofErr w:type="spellStart"/>
      <w:r>
        <w:t>Med</w:t>
      </w:r>
      <w:proofErr w:type="spellEnd"/>
      <w:r>
        <w:t xml:space="preserve">. J. </w:t>
      </w:r>
      <w:proofErr w:type="spellStart"/>
      <w:r>
        <w:t>Islam</w:t>
      </w:r>
      <w:proofErr w:type="spellEnd"/>
      <w:r>
        <w:t xml:space="preserve">. </w:t>
      </w:r>
      <w:proofErr w:type="spellStart"/>
      <w:r>
        <w:t>Repub</w:t>
      </w:r>
      <w:proofErr w:type="spellEnd"/>
      <w:r>
        <w:t xml:space="preserve">. </w:t>
      </w:r>
      <w:proofErr w:type="spellStart"/>
      <w:r>
        <w:t>Iran</w:t>
      </w:r>
      <w:proofErr w:type="spellEnd"/>
      <w:r>
        <w:t xml:space="preserve"> </w:t>
      </w:r>
      <w:r w:rsidRPr="00CD0229">
        <w:rPr>
          <w:b/>
        </w:rPr>
        <w:t>2016</w:t>
      </w:r>
      <w:r>
        <w:t>, 30, 386. [</w:t>
      </w:r>
      <w:proofErr w:type="spellStart"/>
      <w:r w:rsidRPr="00CD0229">
        <w:rPr>
          <w:color w:val="2E74B5" w:themeColor="accent5" w:themeShade="BF"/>
        </w:rPr>
        <w:t>PubMed</w:t>
      </w:r>
      <w:proofErr w:type="spellEnd"/>
      <w:r>
        <w:t>]</w:t>
      </w:r>
    </w:p>
    <w:p w:rsidR="00CD0229" w:rsidRPr="006874AC" w:rsidRDefault="00CD0229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CD0229">
        <w:rPr>
          <w:lang w:val="en-US"/>
        </w:rPr>
        <w:t xml:space="preserve">Tadano, S.; Tanabe, H.; Arai, S.; </w:t>
      </w:r>
      <w:proofErr w:type="spellStart"/>
      <w:r w:rsidRPr="00CD0229">
        <w:rPr>
          <w:lang w:val="en-US"/>
        </w:rPr>
        <w:t>Fujino</w:t>
      </w:r>
      <w:proofErr w:type="spellEnd"/>
      <w:r w:rsidRPr="00CD0229">
        <w:rPr>
          <w:lang w:val="en-US"/>
        </w:rPr>
        <w:t xml:space="preserve">, K.; </w:t>
      </w:r>
      <w:proofErr w:type="spellStart"/>
      <w:r w:rsidRPr="00CD0229">
        <w:rPr>
          <w:lang w:val="en-US"/>
        </w:rPr>
        <w:t>Doi</w:t>
      </w:r>
      <w:proofErr w:type="spellEnd"/>
      <w:r w:rsidRPr="00CD0229">
        <w:rPr>
          <w:lang w:val="en-US"/>
        </w:rPr>
        <w:t xml:space="preserve">, T.; Akai, M. Lumbar mechanical traction: A biomechanical assessment of change at the lumbar spine. </w:t>
      </w:r>
      <w:r>
        <w:t xml:space="preserve">BMC </w:t>
      </w:r>
      <w:proofErr w:type="spellStart"/>
      <w:r>
        <w:t>Musculoskelet</w:t>
      </w:r>
      <w:proofErr w:type="spellEnd"/>
      <w:r>
        <w:t xml:space="preserve">. </w:t>
      </w:r>
      <w:proofErr w:type="spellStart"/>
      <w:r>
        <w:t>Disord</w:t>
      </w:r>
      <w:proofErr w:type="spellEnd"/>
      <w:r>
        <w:t xml:space="preserve">. </w:t>
      </w:r>
      <w:r w:rsidRPr="00CD0229">
        <w:rPr>
          <w:b/>
        </w:rPr>
        <w:t>2019</w:t>
      </w:r>
      <w:r>
        <w:t>, 20, 155. [</w:t>
      </w:r>
      <w:proofErr w:type="spellStart"/>
      <w:r w:rsidRPr="00CD0229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CD0229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6874AC">
        <w:rPr>
          <w:lang w:val="en-US"/>
        </w:rPr>
        <w:t>Madson</w:t>
      </w:r>
      <w:proofErr w:type="spellEnd"/>
      <w:r w:rsidRPr="006874AC">
        <w:rPr>
          <w:lang w:val="en-US"/>
        </w:rPr>
        <w:t xml:space="preserve">, T.J.; Hollman, J.H. Cervical Traction for Managing Neck Pain: A Survey of Physical Therapists in the United States. </w:t>
      </w:r>
      <w:r>
        <w:t xml:space="preserve">J. </w:t>
      </w:r>
      <w:proofErr w:type="spellStart"/>
      <w:r>
        <w:t>Orthop</w:t>
      </w:r>
      <w:proofErr w:type="spellEnd"/>
      <w:r>
        <w:t xml:space="preserve">.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r w:rsidRPr="006874AC">
        <w:rPr>
          <w:b/>
        </w:rPr>
        <w:t>2017</w:t>
      </w:r>
      <w:r>
        <w:t>, 47, 200–208. [</w:t>
      </w:r>
      <w:proofErr w:type="spellStart"/>
      <w:r w:rsidRPr="006874AC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6874AC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6874AC">
        <w:rPr>
          <w:lang w:val="en-US"/>
        </w:rPr>
        <w:t>Diab</w:t>
      </w:r>
      <w:proofErr w:type="spellEnd"/>
      <w:r w:rsidRPr="006874AC">
        <w:rPr>
          <w:lang w:val="en-US"/>
        </w:rPr>
        <w:t xml:space="preserve">, A.A.M.; </w:t>
      </w:r>
      <w:proofErr w:type="spellStart"/>
      <w:r w:rsidRPr="006874AC">
        <w:rPr>
          <w:lang w:val="en-US"/>
        </w:rPr>
        <w:t>Moustafa</w:t>
      </w:r>
      <w:proofErr w:type="spellEnd"/>
      <w:r w:rsidRPr="006874AC">
        <w:rPr>
          <w:lang w:val="en-US"/>
        </w:rPr>
        <w:t xml:space="preserve">, I.M. The efficacy of lumbar extension traction for sagittal alignment in mechanical low back pain: A randomized trial. </w:t>
      </w:r>
      <w:r>
        <w:t xml:space="preserve">J.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Musculoskelet</w:t>
      </w:r>
      <w:proofErr w:type="spellEnd"/>
      <w:r>
        <w:t xml:space="preserve">. </w:t>
      </w:r>
      <w:proofErr w:type="spellStart"/>
      <w:r>
        <w:t>Rehabil</w:t>
      </w:r>
      <w:proofErr w:type="spellEnd"/>
      <w:r>
        <w:t xml:space="preserve">. </w:t>
      </w:r>
      <w:r w:rsidRPr="006874AC">
        <w:rPr>
          <w:b/>
        </w:rPr>
        <w:t>2013</w:t>
      </w:r>
      <w:r>
        <w:t>, 26, 213–220. [</w:t>
      </w:r>
      <w:proofErr w:type="spellStart"/>
      <w:r w:rsidRPr="006874AC">
        <w:rPr>
          <w:color w:val="2E74B5" w:themeColor="accent5" w:themeShade="BF"/>
        </w:rPr>
        <w:t>CrossRef</w:t>
      </w:r>
      <w:proofErr w:type="spellEnd"/>
      <w:r>
        <w:t>]</w:t>
      </w:r>
    </w:p>
    <w:p w:rsidR="006874AC" w:rsidRPr="006874AC" w:rsidRDefault="006874AC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Chung, C.-T.; Tsai, S.-W.; Chen, C.-J.; Wu, T.-C.; Wang, D.; Lan, H.-C.H.; Wu, S.-K. Comparison of the intervertebral disc spaces between axial and anterior lean cervical traction. </w:t>
      </w:r>
      <w:proofErr w:type="spellStart"/>
      <w:r>
        <w:t>Eur</w:t>
      </w:r>
      <w:proofErr w:type="spellEnd"/>
      <w:r>
        <w:t xml:space="preserve">. </w:t>
      </w:r>
      <w:proofErr w:type="spellStart"/>
      <w:r>
        <w:t>Spine</w:t>
      </w:r>
      <w:proofErr w:type="spellEnd"/>
      <w:r>
        <w:t xml:space="preserve"> J. </w:t>
      </w:r>
      <w:r w:rsidRPr="006874AC">
        <w:rPr>
          <w:b/>
        </w:rPr>
        <w:t>2009</w:t>
      </w:r>
      <w:r>
        <w:t>, 18, 1669–1676. [</w:t>
      </w:r>
      <w:proofErr w:type="spellStart"/>
      <w:r w:rsidRPr="006874AC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6874AC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CD0229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Choi, J.; Lee, S.; Jeon, C. Effects of flexion-distraction manipulation therapy on pain and disability in patients with lumbar spinal stenosis. </w:t>
      </w:r>
      <w:r>
        <w:t xml:space="preserve">J.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r w:rsidRPr="006874AC">
        <w:rPr>
          <w:b/>
        </w:rPr>
        <w:t>2015</w:t>
      </w:r>
      <w:r>
        <w:t>, 27, 1937–1939.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Ishida, T.; Tanaka, S.; </w:t>
      </w:r>
      <w:proofErr w:type="spellStart"/>
      <w:r w:rsidRPr="006874AC">
        <w:rPr>
          <w:lang w:val="en-US"/>
        </w:rPr>
        <w:t>Sekiguchi</w:t>
      </w:r>
      <w:proofErr w:type="spellEnd"/>
      <w:r w:rsidRPr="006874AC">
        <w:rPr>
          <w:lang w:val="en-US"/>
        </w:rPr>
        <w:t xml:space="preserve">, T.; Sugiyama, D.; </w:t>
      </w:r>
      <w:proofErr w:type="spellStart"/>
      <w:r w:rsidRPr="006874AC">
        <w:rPr>
          <w:lang w:val="en-US"/>
        </w:rPr>
        <w:t>Kawamata</w:t>
      </w:r>
      <w:proofErr w:type="spellEnd"/>
      <w:r w:rsidRPr="006874AC">
        <w:rPr>
          <w:lang w:val="en-US"/>
        </w:rPr>
        <w:t xml:space="preserve">, M. Spinal nociceptive transmission by mechanical stimulation of bone marrow. </w:t>
      </w:r>
      <w:proofErr w:type="spellStart"/>
      <w:r>
        <w:t>Mol</w:t>
      </w:r>
      <w:proofErr w:type="spellEnd"/>
      <w:r>
        <w:t xml:space="preserve">. </w:t>
      </w:r>
      <w:proofErr w:type="spellStart"/>
      <w:r>
        <w:t>Pain</w:t>
      </w:r>
      <w:proofErr w:type="spellEnd"/>
      <w:r>
        <w:t xml:space="preserve"> </w:t>
      </w:r>
      <w:r w:rsidRPr="006874AC">
        <w:rPr>
          <w:b/>
        </w:rPr>
        <w:t>2016</w:t>
      </w:r>
      <w:r>
        <w:t>, 12, 12.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Harris, P.R. Cervical Traction: Review of Literature and Treatment Guidelines.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r w:rsidRPr="006874AC">
        <w:rPr>
          <w:b/>
        </w:rPr>
        <w:t>1977</w:t>
      </w:r>
      <w:r>
        <w:t>, 57, 910–914.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6874AC">
        <w:rPr>
          <w:lang w:val="en-US"/>
        </w:rPr>
        <w:t>Shahar</w:t>
      </w:r>
      <w:proofErr w:type="spellEnd"/>
      <w:r w:rsidRPr="006874AC">
        <w:rPr>
          <w:lang w:val="en-US"/>
        </w:rPr>
        <w:t xml:space="preserve">, D.; Sayers, M.G.L. Changes in the sagittal </w:t>
      </w:r>
      <w:proofErr w:type="spellStart"/>
      <w:r w:rsidRPr="006874AC">
        <w:rPr>
          <w:lang w:val="en-US"/>
        </w:rPr>
        <w:t>cranio</w:t>
      </w:r>
      <w:proofErr w:type="spellEnd"/>
      <w:r w:rsidRPr="006874AC">
        <w:rPr>
          <w:lang w:val="en-US"/>
        </w:rPr>
        <w:t xml:space="preserve">-cervical posture following a 12-week intervention using a simple spinal traction device. Spine </w:t>
      </w:r>
      <w:r w:rsidRPr="006874AC">
        <w:rPr>
          <w:b/>
          <w:lang w:val="en-US"/>
        </w:rPr>
        <w:t>2019</w:t>
      </w:r>
      <w:r w:rsidRPr="006874AC">
        <w:rPr>
          <w:lang w:val="en-US"/>
        </w:rPr>
        <w:t>, 44, 447–453. [</w:t>
      </w:r>
      <w:proofErr w:type="spellStart"/>
      <w:r w:rsidRPr="00D52E31">
        <w:rPr>
          <w:color w:val="2E74B5" w:themeColor="accent5" w:themeShade="BF"/>
          <w:lang w:val="en-US"/>
        </w:rPr>
        <w:t>CrossRef</w:t>
      </w:r>
      <w:proofErr w:type="spellEnd"/>
      <w:r w:rsidRPr="006874AC">
        <w:rPr>
          <w:lang w:val="en-US"/>
        </w:rP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Li, Y.; Liu, X.; Han, J.; Zhang, J.; Zhang, L.; Yu, H. Clinical efficacy of glucosamine hydrochloride tablets in the treatment of cervical spondylosis. </w:t>
      </w:r>
      <w:proofErr w:type="spellStart"/>
      <w:r>
        <w:t>Pak</w:t>
      </w:r>
      <w:proofErr w:type="spellEnd"/>
      <w:r>
        <w:t xml:space="preserve">. J. </w:t>
      </w:r>
      <w:proofErr w:type="spellStart"/>
      <w:r>
        <w:t>Pharm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r w:rsidRPr="006874AC">
        <w:rPr>
          <w:b/>
        </w:rPr>
        <w:t>2018</w:t>
      </w:r>
      <w:r>
        <w:t>, 31, 1617–1621.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6874AC">
        <w:rPr>
          <w:lang w:val="en-US"/>
        </w:rPr>
        <w:t>Ojoawo</w:t>
      </w:r>
      <w:proofErr w:type="spellEnd"/>
      <w:r w:rsidRPr="006874AC">
        <w:rPr>
          <w:lang w:val="en-US"/>
        </w:rPr>
        <w:t xml:space="preserve">, A.O.; </w:t>
      </w:r>
      <w:proofErr w:type="spellStart"/>
      <w:r w:rsidRPr="006874AC">
        <w:rPr>
          <w:lang w:val="en-US"/>
        </w:rPr>
        <w:t>Olabode</w:t>
      </w:r>
      <w:proofErr w:type="spellEnd"/>
      <w:r w:rsidRPr="006874AC">
        <w:rPr>
          <w:lang w:val="en-US"/>
        </w:rPr>
        <w:t xml:space="preserve">, A.D. Comparative effectiveness of transverse oscillatory pressure and cervical traction in the management of cervical radiculopathy: A randomized controlled study.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Physiother</w:t>
      </w:r>
      <w:proofErr w:type="spellEnd"/>
      <w:r>
        <w:t xml:space="preserve">. J. </w:t>
      </w:r>
      <w:r w:rsidRPr="006874AC">
        <w:rPr>
          <w:b/>
        </w:rPr>
        <w:t>2018</w:t>
      </w:r>
      <w:r>
        <w:t>, 38, 149–160.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Mo, Z.; Li, D.; Zhang, R.; Chang, M.; Yang, B.; Tang, S. Comparisons of the effectiveness and safety of </w:t>
      </w:r>
      <w:proofErr w:type="spellStart"/>
      <w:r w:rsidRPr="006874AC">
        <w:rPr>
          <w:lang w:val="en-US"/>
        </w:rPr>
        <w:t>tuina</w:t>
      </w:r>
      <w:proofErr w:type="spellEnd"/>
      <w:r w:rsidRPr="006874AC">
        <w:rPr>
          <w:lang w:val="en-US"/>
        </w:rPr>
        <w:t xml:space="preserve">, acupuncture, traction, and Chinese herbs for lumbar disc herniation: A systematic review and network meta-analysis. </w:t>
      </w:r>
      <w:proofErr w:type="spellStart"/>
      <w:r>
        <w:t>Evid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Complement</w:t>
      </w:r>
      <w:proofErr w:type="spellEnd"/>
      <w:r>
        <w:t xml:space="preserve">. </w:t>
      </w:r>
      <w:proofErr w:type="spellStart"/>
      <w:r>
        <w:t>Alternat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</w:t>
      </w:r>
      <w:r w:rsidRPr="006874AC">
        <w:rPr>
          <w:b/>
        </w:rPr>
        <w:t xml:space="preserve">2019, </w:t>
      </w:r>
      <w:r w:rsidRPr="006874AC">
        <w:t>2019</w:t>
      </w:r>
      <w:r>
        <w:t>, 6821310.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Thackeray, A.; Fritz, J.M.; Childs, J.D.; Brennan, G.P. The effectiveness of mechanical traction among subgroups of patients with low back pain and leg pain: A randomized trial. </w:t>
      </w:r>
      <w:r>
        <w:t xml:space="preserve">J. </w:t>
      </w:r>
      <w:proofErr w:type="spellStart"/>
      <w:r>
        <w:t>Orthop</w:t>
      </w:r>
      <w:proofErr w:type="spellEnd"/>
      <w:r>
        <w:t xml:space="preserve">.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r w:rsidRPr="006874AC">
        <w:rPr>
          <w:b/>
        </w:rPr>
        <w:t>2016</w:t>
      </w:r>
      <w:r>
        <w:t>, 46, 144–154.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lastRenderedPageBreak/>
        <w:t xml:space="preserve">Harte, A.A.; Baxter, G.D.; </w:t>
      </w:r>
      <w:proofErr w:type="spellStart"/>
      <w:r w:rsidRPr="006874AC">
        <w:rPr>
          <w:lang w:val="en-US"/>
        </w:rPr>
        <w:t>Gracey</w:t>
      </w:r>
      <w:proofErr w:type="spellEnd"/>
      <w:r w:rsidRPr="006874AC">
        <w:rPr>
          <w:lang w:val="en-US"/>
        </w:rPr>
        <w:t xml:space="preserve">, J.H. The effectiveness of </w:t>
      </w:r>
      <w:proofErr w:type="spellStart"/>
      <w:r w:rsidRPr="006874AC">
        <w:rPr>
          <w:lang w:val="en-US"/>
        </w:rPr>
        <w:t>motorised</w:t>
      </w:r>
      <w:proofErr w:type="spellEnd"/>
      <w:r w:rsidRPr="006874AC">
        <w:rPr>
          <w:lang w:val="en-US"/>
        </w:rPr>
        <w:t xml:space="preserve"> lumbar traction in the management of LBP with </w:t>
      </w:r>
      <w:proofErr w:type="spellStart"/>
      <w:r w:rsidRPr="006874AC">
        <w:rPr>
          <w:lang w:val="en-US"/>
        </w:rPr>
        <w:t>lumbo</w:t>
      </w:r>
      <w:proofErr w:type="spellEnd"/>
      <w:r w:rsidRPr="006874AC">
        <w:rPr>
          <w:lang w:val="en-US"/>
        </w:rPr>
        <w:t xml:space="preserve"> sacral nerve root involvement: A feasibility study. </w:t>
      </w:r>
      <w:r>
        <w:t xml:space="preserve">BMC </w:t>
      </w:r>
      <w:proofErr w:type="spellStart"/>
      <w:r>
        <w:t>Musculoskelet</w:t>
      </w:r>
      <w:proofErr w:type="spellEnd"/>
      <w:r>
        <w:t xml:space="preserve">. </w:t>
      </w:r>
      <w:proofErr w:type="spellStart"/>
      <w:r>
        <w:t>Disord</w:t>
      </w:r>
      <w:proofErr w:type="spellEnd"/>
      <w:r>
        <w:t xml:space="preserve">. </w:t>
      </w:r>
      <w:r w:rsidRPr="006874AC">
        <w:rPr>
          <w:b/>
        </w:rPr>
        <w:t>2007</w:t>
      </w:r>
      <w:r>
        <w:t>, 8, 118.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spellStart"/>
      <w:r w:rsidRPr="006874AC">
        <w:rPr>
          <w:lang w:val="en-US"/>
        </w:rPr>
        <w:t>Haher</w:t>
      </w:r>
      <w:proofErr w:type="spellEnd"/>
      <w:r w:rsidRPr="006874AC">
        <w:rPr>
          <w:lang w:val="en-US"/>
        </w:rPr>
        <w:t xml:space="preserve">, T.R.; </w:t>
      </w:r>
      <w:proofErr w:type="spellStart"/>
      <w:r w:rsidRPr="006874AC">
        <w:rPr>
          <w:lang w:val="en-US"/>
        </w:rPr>
        <w:t>O’brien</w:t>
      </w:r>
      <w:proofErr w:type="spellEnd"/>
      <w:r w:rsidRPr="006874AC">
        <w:rPr>
          <w:lang w:val="en-US"/>
        </w:rPr>
        <w:t xml:space="preserve">, M.; Dryer, J.W.; </w:t>
      </w:r>
      <w:proofErr w:type="spellStart"/>
      <w:r w:rsidRPr="006874AC">
        <w:rPr>
          <w:lang w:val="en-US"/>
        </w:rPr>
        <w:t>Nucci</w:t>
      </w:r>
      <w:proofErr w:type="spellEnd"/>
      <w:r w:rsidRPr="006874AC">
        <w:rPr>
          <w:lang w:val="en-US"/>
        </w:rPr>
        <w:t xml:space="preserve">, R.; </w:t>
      </w:r>
      <w:proofErr w:type="spellStart"/>
      <w:r w:rsidRPr="006874AC">
        <w:rPr>
          <w:lang w:val="en-US"/>
        </w:rPr>
        <w:t>Zipnick</w:t>
      </w:r>
      <w:proofErr w:type="spellEnd"/>
      <w:r w:rsidRPr="006874AC">
        <w:rPr>
          <w:lang w:val="en-US"/>
        </w:rPr>
        <w:t xml:space="preserve">, R.; Leone, D.J. The role of the lumbar facet joints in spinal stability. Identification of alternative paths of loading. Spine </w:t>
      </w:r>
      <w:r w:rsidRPr="006874AC">
        <w:rPr>
          <w:b/>
          <w:lang w:val="en-US"/>
        </w:rPr>
        <w:t>1994</w:t>
      </w:r>
      <w:r w:rsidRPr="006874AC">
        <w:rPr>
          <w:lang w:val="en-US"/>
        </w:rPr>
        <w:t>, 19, 2667–2670; discussion 2671. [</w:t>
      </w:r>
      <w:proofErr w:type="spellStart"/>
      <w:r w:rsidRPr="00D52E31">
        <w:rPr>
          <w:color w:val="2E74B5" w:themeColor="accent5" w:themeShade="BF"/>
          <w:lang w:val="en-US"/>
        </w:rPr>
        <w:t>CrossRef</w:t>
      </w:r>
      <w:proofErr w:type="spellEnd"/>
      <w:r w:rsidRPr="006874AC">
        <w:rPr>
          <w:lang w:val="en-US"/>
        </w:rPr>
        <w:t>] [</w:t>
      </w:r>
      <w:r w:rsidRPr="00D52E31">
        <w:rPr>
          <w:color w:val="2E74B5" w:themeColor="accent5" w:themeShade="BF"/>
          <w:lang w:val="en-US"/>
        </w:rPr>
        <w:t>PubMed</w:t>
      </w:r>
      <w:r w:rsidRPr="006874AC">
        <w:rPr>
          <w:lang w:val="en-US"/>
        </w:rP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Hidalgo, B.; Hall, T.; </w:t>
      </w:r>
      <w:proofErr w:type="spellStart"/>
      <w:r w:rsidRPr="006874AC">
        <w:rPr>
          <w:lang w:val="en-US"/>
        </w:rPr>
        <w:t>Bossert</w:t>
      </w:r>
      <w:proofErr w:type="spellEnd"/>
      <w:r w:rsidRPr="006874AC">
        <w:rPr>
          <w:lang w:val="en-US"/>
        </w:rPr>
        <w:t xml:space="preserve">, J.; </w:t>
      </w:r>
      <w:proofErr w:type="spellStart"/>
      <w:r w:rsidRPr="006874AC">
        <w:rPr>
          <w:lang w:val="en-US"/>
        </w:rPr>
        <w:t>Dugeny</w:t>
      </w:r>
      <w:proofErr w:type="spellEnd"/>
      <w:r w:rsidRPr="006874AC">
        <w:rPr>
          <w:lang w:val="en-US"/>
        </w:rPr>
        <w:t xml:space="preserve">, A.; </w:t>
      </w:r>
      <w:proofErr w:type="spellStart"/>
      <w:r w:rsidRPr="006874AC">
        <w:rPr>
          <w:lang w:val="en-US"/>
        </w:rPr>
        <w:t>Cagnie</w:t>
      </w:r>
      <w:proofErr w:type="spellEnd"/>
      <w:r w:rsidRPr="006874AC">
        <w:rPr>
          <w:lang w:val="en-US"/>
        </w:rPr>
        <w:t xml:space="preserve">, B.; </w:t>
      </w:r>
      <w:proofErr w:type="spellStart"/>
      <w:r w:rsidRPr="006874AC">
        <w:rPr>
          <w:lang w:val="en-US"/>
        </w:rPr>
        <w:t>Pitance</w:t>
      </w:r>
      <w:proofErr w:type="spellEnd"/>
      <w:r w:rsidRPr="006874AC">
        <w:rPr>
          <w:lang w:val="en-US"/>
        </w:rPr>
        <w:t xml:space="preserve">, L. The efficacy of manual therapy and exercise for treating non-specific neck pain: A systematic review. J. Back </w:t>
      </w:r>
      <w:proofErr w:type="spellStart"/>
      <w:r w:rsidRPr="006874AC">
        <w:rPr>
          <w:lang w:val="en-US"/>
        </w:rPr>
        <w:t>Musculoskelet</w:t>
      </w:r>
      <w:proofErr w:type="spellEnd"/>
      <w:r w:rsidRPr="006874AC">
        <w:rPr>
          <w:lang w:val="en-US"/>
        </w:rPr>
        <w:t xml:space="preserve">. </w:t>
      </w:r>
      <w:proofErr w:type="spellStart"/>
      <w:r w:rsidRPr="006874AC">
        <w:rPr>
          <w:lang w:val="en-US"/>
        </w:rPr>
        <w:t>Rehabil</w:t>
      </w:r>
      <w:proofErr w:type="spellEnd"/>
      <w:r w:rsidRPr="006874AC">
        <w:rPr>
          <w:lang w:val="en-US"/>
        </w:rPr>
        <w:t xml:space="preserve">. </w:t>
      </w:r>
      <w:proofErr w:type="gramStart"/>
      <w:r w:rsidRPr="00D52E31">
        <w:rPr>
          <w:b/>
          <w:lang w:val="en-US"/>
        </w:rPr>
        <w:t>2017</w:t>
      </w:r>
      <w:proofErr w:type="gramEnd"/>
      <w:r w:rsidRPr="006874AC">
        <w:rPr>
          <w:lang w:val="en-US"/>
        </w:rPr>
        <w:t>, 30, 1149–1169. [</w:t>
      </w:r>
      <w:proofErr w:type="spellStart"/>
      <w:r w:rsidRPr="00D52E31">
        <w:rPr>
          <w:color w:val="2E74B5" w:themeColor="accent5" w:themeShade="BF"/>
          <w:lang w:val="en-US"/>
        </w:rPr>
        <w:t>CrossRef</w:t>
      </w:r>
      <w:proofErr w:type="spellEnd"/>
      <w:r w:rsidRPr="006874AC">
        <w:rPr>
          <w:lang w:val="en-US"/>
        </w:rPr>
        <w:t>] [</w:t>
      </w:r>
      <w:r w:rsidRPr="00D52E31">
        <w:rPr>
          <w:color w:val="2E74B5" w:themeColor="accent5" w:themeShade="BF"/>
          <w:lang w:val="en-US"/>
        </w:rPr>
        <w:t>PubMed</w:t>
      </w:r>
      <w:r w:rsidRPr="006874AC">
        <w:rPr>
          <w:lang w:val="en-US"/>
        </w:rP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Roland, M.; Fairbank, J. The Roland-Morris Disability Questionnaire and the </w:t>
      </w:r>
      <w:proofErr w:type="spellStart"/>
      <w:r w:rsidRPr="006874AC">
        <w:rPr>
          <w:lang w:val="en-US"/>
        </w:rPr>
        <w:t>Oswestry</w:t>
      </w:r>
      <w:proofErr w:type="spellEnd"/>
      <w:r w:rsidRPr="006874AC">
        <w:rPr>
          <w:lang w:val="en-US"/>
        </w:rPr>
        <w:t xml:space="preserve"> Disability Questionnaire. </w:t>
      </w:r>
      <w:proofErr w:type="spellStart"/>
      <w:r>
        <w:t>Spine</w:t>
      </w:r>
      <w:proofErr w:type="spellEnd"/>
      <w:r>
        <w:t xml:space="preserve"> </w:t>
      </w:r>
      <w:r w:rsidRPr="00D52E31">
        <w:rPr>
          <w:b/>
        </w:rPr>
        <w:t>2000</w:t>
      </w:r>
      <w:r>
        <w:t>, 25, 3115–3124.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Scrimshaw, S.V.; Maher, C. Responsiveness of visual analogue and McGill pain scale measures. </w:t>
      </w:r>
      <w:r>
        <w:t xml:space="preserve">J. </w:t>
      </w:r>
      <w:proofErr w:type="spellStart"/>
      <w:r>
        <w:t>Manip</w:t>
      </w:r>
      <w:proofErr w:type="spellEnd"/>
      <w:r>
        <w:t xml:space="preserve">. </w:t>
      </w:r>
      <w:proofErr w:type="spellStart"/>
      <w:r>
        <w:t>Physiol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r w:rsidRPr="00D52E31">
        <w:rPr>
          <w:b/>
        </w:rPr>
        <w:t>2001</w:t>
      </w:r>
      <w:r>
        <w:t>, 24, 501–504.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Chung, T.S.; Yang, H.E.; </w:t>
      </w:r>
      <w:proofErr w:type="spellStart"/>
      <w:r w:rsidRPr="006874AC">
        <w:rPr>
          <w:lang w:val="en-US"/>
        </w:rPr>
        <w:t>Ahn</w:t>
      </w:r>
      <w:proofErr w:type="spellEnd"/>
      <w:r w:rsidRPr="006874AC">
        <w:rPr>
          <w:lang w:val="en-US"/>
        </w:rPr>
        <w:t xml:space="preserve">, S.J.; Park, J.H. Herniated lumbar disks: Real-time MR imaging evaluation during continuous traction. </w:t>
      </w:r>
      <w:proofErr w:type="spellStart"/>
      <w:r>
        <w:t>Radiology</w:t>
      </w:r>
      <w:proofErr w:type="spellEnd"/>
      <w:r>
        <w:t xml:space="preserve"> </w:t>
      </w:r>
      <w:r w:rsidRPr="00D52E31">
        <w:rPr>
          <w:b/>
        </w:rPr>
        <w:t>2015</w:t>
      </w:r>
      <w:r>
        <w:t>, 275, 755–762.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Choi, J.; Lee, S.; </w:t>
      </w:r>
      <w:proofErr w:type="spellStart"/>
      <w:r w:rsidRPr="006874AC">
        <w:rPr>
          <w:lang w:val="en-US"/>
        </w:rPr>
        <w:t>Hwangbo</w:t>
      </w:r>
      <w:proofErr w:type="spellEnd"/>
      <w:r w:rsidRPr="006874AC">
        <w:rPr>
          <w:lang w:val="en-US"/>
        </w:rPr>
        <w:t xml:space="preserve">, G. Influences of spinal decompression therapy and general traction therapy on the pain, disability, and straight leg raising of patients with intervertebral disc herniation. </w:t>
      </w:r>
      <w:r>
        <w:t xml:space="preserve">J.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. </w:t>
      </w:r>
      <w:r w:rsidRPr="00D52E31">
        <w:rPr>
          <w:b/>
        </w:rPr>
        <w:t>2015</w:t>
      </w:r>
      <w:r>
        <w:t>, 27, 481–483.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6874AC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6874AC">
        <w:rPr>
          <w:lang w:val="en-US"/>
        </w:rPr>
        <w:t xml:space="preserve">Romeo, A.; </w:t>
      </w:r>
      <w:proofErr w:type="spellStart"/>
      <w:r w:rsidRPr="006874AC">
        <w:rPr>
          <w:lang w:val="en-US"/>
        </w:rPr>
        <w:t>Vanti</w:t>
      </w:r>
      <w:proofErr w:type="spellEnd"/>
      <w:r w:rsidRPr="006874AC">
        <w:rPr>
          <w:lang w:val="en-US"/>
        </w:rPr>
        <w:t xml:space="preserve">, C.; </w:t>
      </w:r>
      <w:proofErr w:type="spellStart"/>
      <w:r w:rsidRPr="006874AC">
        <w:rPr>
          <w:lang w:val="en-US"/>
        </w:rPr>
        <w:t>Boldrini</w:t>
      </w:r>
      <w:proofErr w:type="spellEnd"/>
      <w:r w:rsidRPr="006874AC">
        <w:rPr>
          <w:lang w:val="en-US"/>
        </w:rPr>
        <w:t xml:space="preserve">, V.; Ruggeri, M.; </w:t>
      </w:r>
      <w:proofErr w:type="spellStart"/>
      <w:r w:rsidRPr="006874AC">
        <w:rPr>
          <w:lang w:val="en-US"/>
        </w:rPr>
        <w:t>Guccione</w:t>
      </w:r>
      <w:proofErr w:type="spellEnd"/>
      <w:r w:rsidRPr="006874AC">
        <w:rPr>
          <w:lang w:val="en-US"/>
        </w:rPr>
        <w:t xml:space="preserve">, A.A.; </w:t>
      </w:r>
      <w:proofErr w:type="spellStart"/>
      <w:r w:rsidRPr="006874AC">
        <w:rPr>
          <w:lang w:val="en-US"/>
        </w:rPr>
        <w:t>Pillastrini</w:t>
      </w:r>
      <w:proofErr w:type="spellEnd"/>
      <w:r w:rsidRPr="006874AC">
        <w:rPr>
          <w:lang w:val="en-US"/>
        </w:rPr>
        <w:t xml:space="preserve">, P.; </w:t>
      </w:r>
      <w:proofErr w:type="spellStart"/>
      <w:r w:rsidRPr="006874AC">
        <w:rPr>
          <w:lang w:val="en-US"/>
        </w:rPr>
        <w:t>Bertozzi</w:t>
      </w:r>
      <w:proofErr w:type="spellEnd"/>
      <w:r w:rsidRPr="006874AC">
        <w:rPr>
          <w:lang w:val="en-US"/>
        </w:rPr>
        <w:t xml:space="preserve">, L. Cervical radiculopathy: Effectiveness of adding traction to physical therapy-a systematic review and meta-analysis of randomized controlled trials. </w:t>
      </w:r>
      <w:proofErr w:type="spellStart"/>
      <w:r>
        <w:t>Phys</w:t>
      </w:r>
      <w:proofErr w:type="spellEnd"/>
      <w:r>
        <w:t xml:space="preserve">. </w:t>
      </w:r>
      <w:proofErr w:type="spellStart"/>
      <w:r>
        <w:t>Ther</w:t>
      </w:r>
      <w:proofErr w:type="spellEnd"/>
      <w:r>
        <w:t xml:space="preserve">. </w:t>
      </w:r>
      <w:r w:rsidRPr="00D52E31">
        <w:rPr>
          <w:b/>
        </w:rPr>
        <w:t>2018</w:t>
      </w:r>
      <w:r>
        <w:t>, 98, 231–242.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6874AC" w:rsidRPr="00CD0229" w:rsidRDefault="006874AC" w:rsidP="006874AC">
      <w:pPr>
        <w:pStyle w:val="a4"/>
        <w:numPr>
          <w:ilvl w:val="0"/>
          <w:numId w:val="1"/>
        </w:numPr>
        <w:spacing w:after="0"/>
        <w:jc w:val="both"/>
        <w:rPr>
          <w:b/>
          <w:lang w:val="en-US"/>
        </w:rPr>
      </w:pPr>
      <w:proofErr w:type="gramStart"/>
      <w:r w:rsidRPr="006874AC">
        <w:rPr>
          <w:lang w:val="en-US"/>
        </w:rPr>
        <w:t>Cai</w:t>
      </w:r>
      <w:proofErr w:type="gramEnd"/>
      <w:r w:rsidRPr="006874AC">
        <w:rPr>
          <w:lang w:val="en-US"/>
        </w:rPr>
        <w:t xml:space="preserve">, C.; Ming, G.; Ng, L.Y. Development of a clinical prediction rule to identify patients with neck pain who are likely to benefit from home-based mechanical cervical traction. </w:t>
      </w:r>
      <w:proofErr w:type="spellStart"/>
      <w:r>
        <w:t>Eur</w:t>
      </w:r>
      <w:proofErr w:type="spellEnd"/>
      <w:r>
        <w:t xml:space="preserve">. </w:t>
      </w:r>
      <w:proofErr w:type="spellStart"/>
      <w:r>
        <w:t>Spine</w:t>
      </w:r>
      <w:proofErr w:type="spellEnd"/>
      <w:r>
        <w:t xml:space="preserve"> J. </w:t>
      </w:r>
      <w:r w:rsidRPr="00D52E31">
        <w:rPr>
          <w:b/>
        </w:rPr>
        <w:t>2011</w:t>
      </w:r>
      <w:r>
        <w:t>, 20, 912–922. [</w:t>
      </w:r>
      <w:proofErr w:type="spellStart"/>
      <w:r w:rsidRPr="00D52E31">
        <w:rPr>
          <w:color w:val="2E74B5" w:themeColor="accent5" w:themeShade="BF"/>
        </w:rPr>
        <w:t>CrossRef</w:t>
      </w:r>
      <w:proofErr w:type="spellEnd"/>
      <w:r>
        <w:t>] [</w:t>
      </w:r>
      <w:proofErr w:type="spellStart"/>
      <w:r w:rsidRPr="00D52E31">
        <w:rPr>
          <w:color w:val="2E74B5" w:themeColor="accent5" w:themeShade="BF"/>
        </w:rPr>
        <w:t>PubMed</w:t>
      </w:r>
      <w:proofErr w:type="spellEnd"/>
      <w:r>
        <w:t>]</w:t>
      </w:r>
    </w:p>
    <w:p w:rsidR="00F74960" w:rsidRPr="00CD0229" w:rsidRDefault="00F74960" w:rsidP="00F74960">
      <w:pPr>
        <w:spacing w:after="0"/>
        <w:contextualSpacing/>
        <w:jc w:val="center"/>
        <w:rPr>
          <w:lang w:val="en-US"/>
        </w:rPr>
      </w:pPr>
    </w:p>
    <w:sectPr w:rsidR="00F74960" w:rsidRPr="00CD0229" w:rsidSect="004C5C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BF6"/>
    <w:multiLevelType w:val="hybridMultilevel"/>
    <w:tmpl w:val="86D0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F8"/>
    <w:rsid w:val="000378D5"/>
    <w:rsid w:val="000A2B42"/>
    <w:rsid w:val="000A3B09"/>
    <w:rsid w:val="000A7584"/>
    <w:rsid w:val="000B10B5"/>
    <w:rsid w:val="000B4722"/>
    <w:rsid w:val="000B715F"/>
    <w:rsid w:val="001052B5"/>
    <w:rsid w:val="00141043"/>
    <w:rsid w:val="001A78C9"/>
    <w:rsid w:val="001B54DD"/>
    <w:rsid w:val="001C7C50"/>
    <w:rsid w:val="001E6AB1"/>
    <w:rsid w:val="00204D35"/>
    <w:rsid w:val="002122FF"/>
    <w:rsid w:val="00225736"/>
    <w:rsid w:val="00250F04"/>
    <w:rsid w:val="00272D11"/>
    <w:rsid w:val="00280C92"/>
    <w:rsid w:val="002C0127"/>
    <w:rsid w:val="002D44AB"/>
    <w:rsid w:val="003023A1"/>
    <w:rsid w:val="00331BF6"/>
    <w:rsid w:val="00342674"/>
    <w:rsid w:val="00342CAB"/>
    <w:rsid w:val="0036417B"/>
    <w:rsid w:val="00373F01"/>
    <w:rsid w:val="003A2B30"/>
    <w:rsid w:val="003F48BF"/>
    <w:rsid w:val="00401BC6"/>
    <w:rsid w:val="00415AF7"/>
    <w:rsid w:val="0042214D"/>
    <w:rsid w:val="00463B8A"/>
    <w:rsid w:val="00465BEB"/>
    <w:rsid w:val="00470BC5"/>
    <w:rsid w:val="00473527"/>
    <w:rsid w:val="004C5C52"/>
    <w:rsid w:val="004D23F8"/>
    <w:rsid w:val="0052379B"/>
    <w:rsid w:val="00540436"/>
    <w:rsid w:val="00550053"/>
    <w:rsid w:val="005A21FC"/>
    <w:rsid w:val="005D19BE"/>
    <w:rsid w:val="00612501"/>
    <w:rsid w:val="00612525"/>
    <w:rsid w:val="00642250"/>
    <w:rsid w:val="006703B6"/>
    <w:rsid w:val="006874AC"/>
    <w:rsid w:val="00690876"/>
    <w:rsid w:val="006F74AD"/>
    <w:rsid w:val="007238BE"/>
    <w:rsid w:val="00736A92"/>
    <w:rsid w:val="007401FC"/>
    <w:rsid w:val="00756CE5"/>
    <w:rsid w:val="007659B3"/>
    <w:rsid w:val="00781ED7"/>
    <w:rsid w:val="007C0C20"/>
    <w:rsid w:val="008142AE"/>
    <w:rsid w:val="00855E20"/>
    <w:rsid w:val="00865D07"/>
    <w:rsid w:val="009040E8"/>
    <w:rsid w:val="00927AFC"/>
    <w:rsid w:val="0096250D"/>
    <w:rsid w:val="009D4B08"/>
    <w:rsid w:val="009E0AA8"/>
    <w:rsid w:val="009E3D01"/>
    <w:rsid w:val="009F637D"/>
    <w:rsid w:val="00A066E1"/>
    <w:rsid w:val="00A47816"/>
    <w:rsid w:val="00A52E6F"/>
    <w:rsid w:val="00AA268C"/>
    <w:rsid w:val="00AE3795"/>
    <w:rsid w:val="00B01A69"/>
    <w:rsid w:val="00B30B90"/>
    <w:rsid w:val="00B62E9D"/>
    <w:rsid w:val="00B66537"/>
    <w:rsid w:val="00B7020D"/>
    <w:rsid w:val="00B92E5D"/>
    <w:rsid w:val="00BC6FE8"/>
    <w:rsid w:val="00C10674"/>
    <w:rsid w:val="00C2324D"/>
    <w:rsid w:val="00C90046"/>
    <w:rsid w:val="00C94B99"/>
    <w:rsid w:val="00CD0229"/>
    <w:rsid w:val="00D31F82"/>
    <w:rsid w:val="00D52E31"/>
    <w:rsid w:val="00D80427"/>
    <w:rsid w:val="00DF1C23"/>
    <w:rsid w:val="00E0363D"/>
    <w:rsid w:val="00E23C12"/>
    <w:rsid w:val="00E30593"/>
    <w:rsid w:val="00E553BA"/>
    <w:rsid w:val="00E65372"/>
    <w:rsid w:val="00EE6355"/>
    <w:rsid w:val="00EF199F"/>
    <w:rsid w:val="00EF4FC4"/>
    <w:rsid w:val="00EF6893"/>
    <w:rsid w:val="00F13757"/>
    <w:rsid w:val="00F34E0F"/>
    <w:rsid w:val="00F74960"/>
    <w:rsid w:val="00F93608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D1C"/>
  <w15:chartTrackingRefBased/>
  <w15:docId w15:val="{371C82F4-D9F5-4F83-8E56-832A9F8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92</cp:revision>
  <dcterms:created xsi:type="dcterms:W3CDTF">2020-11-02T18:52:00Z</dcterms:created>
  <dcterms:modified xsi:type="dcterms:W3CDTF">2020-11-12T19:49:00Z</dcterms:modified>
</cp:coreProperties>
</file>